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36" w:rsidRPr="00021936" w:rsidRDefault="00021936" w:rsidP="00021936">
      <w:pPr>
        <w:spacing w:line="240" w:lineRule="auto"/>
        <w:jc w:val="center"/>
        <w:rPr>
          <w:rFonts w:eastAsia="Times New Roman" w:cs="Times New Roman"/>
          <w:szCs w:val="24"/>
          <w:lang w:eastAsia="es-CO"/>
        </w:rPr>
      </w:pPr>
      <w:r w:rsidRPr="00021936">
        <w:rPr>
          <w:rFonts w:ascii="Segoe UI" w:eastAsia="Times New Roman" w:hAnsi="Segoe UI" w:cs="Segoe UI"/>
          <w:b/>
          <w:color w:val="0000FF"/>
          <w:sz w:val="28"/>
          <w:lang w:eastAsia="es-CO"/>
        </w:rPr>
        <w:t>OFICIO Nº 010795</w:t>
      </w:r>
    </w:p>
    <w:p w:rsidR="00021936" w:rsidRPr="00021936" w:rsidRDefault="00021936" w:rsidP="00021936">
      <w:pPr>
        <w:spacing w:line="240" w:lineRule="auto"/>
        <w:jc w:val="center"/>
        <w:rPr>
          <w:rFonts w:eastAsia="Times New Roman" w:cs="Times New Roman"/>
          <w:szCs w:val="24"/>
          <w:lang w:eastAsia="es-CO"/>
        </w:rPr>
      </w:pPr>
      <w:r w:rsidRPr="00021936">
        <w:rPr>
          <w:rFonts w:ascii="Segoe UI" w:eastAsia="Times New Roman" w:hAnsi="Segoe UI" w:cs="Segoe UI"/>
          <w:b/>
          <w:color w:val="0000FF"/>
          <w:sz w:val="28"/>
          <w:lang w:eastAsia="es-CO"/>
        </w:rPr>
        <w:t>08-05-2017</w:t>
      </w:r>
    </w:p>
    <w:p w:rsidR="00021936" w:rsidRPr="00021936" w:rsidRDefault="00021936" w:rsidP="00021936">
      <w:pPr>
        <w:spacing w:line="240" w:lineRule="auto"/>
        <w:jc w:val="center"/>
        <w:rPr>
          <w:rFonts w:eastAsia="Times New Roman" w:cs="Times New Roman"/>
          <w:szCs w:val="24"/>
          <w:lang w:eastAsia="es-CO"/>
        </w:rPr>
      </w:pPr>
      <w:r w:rsidRPr="00021936">
        <w:rPr>
          <w:rFonts w:ascii="Segoe UI" w:eastAsia="Times New Roman" w:hAnsi="Segoe UI" w:cs="Segoe UI"/>
          <w:b/>
          <w:color w:val="0000FF"/>
          <w:sz w:val="28"/>
          <w:lang w:eastAsia="es-CO"/>
        </w:rPr>
        <w:t>DIAN</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color w:val="0000FF"/>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color w:val="0000FF"/>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Subdirección de Gestión Normativa y Doctrina</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Bogotá, D.C.</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100208221- 000873</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Señor</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szCs w:val="24"/>
          <w:lang w:eastAsia="es-CO"/>
        </w:rPr>
        <w:t>JAVIER JAIQUEL CASTRO</w:t>
      </w:r>
    </w:p>
    <w:p w:rsidR="00021936" w:rsidRPr="00021936" w:rsidRDefault="00021936" w:rsidP="00021936">
      <w:pPr>
        <w:spacing w:line="240" w:lineRule="auto"/>
        <w:rPr>
          <w:rFonts w:eastAsia="Times New Roman" w:cs="Times New Roman"/>
          <w:szCs w:val="24"/>
          <w:lang w:eastAsia="es-CO"/>
        </w:rPr>
      </w:pPr>
      <w:hyperlink r:id="rId4" w:history="1">
        <w:r w:rsidRPr="00021936">
          <w:rPr>
            <w:rFonts w:ascii="Segoe UI" w:eastAsia="Times New Roman" w:hAnsi="Segoe UI" w:cs="Segoe UI"/>
            <w:color w:val="0000FF"/>
            <w:szCs w:val="24"/>
            <w:u w:val="single"/>
            <w:lang w:eastAsia="es-CO"/>
          </w:rPr>
          <w:t>javierjaiquel1967@hotmail.com</w:t>
        </w:r>
      </w:hyperlink>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Cr 86 No. 77 – 35</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Bogotá, D.C.</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proofErr w:type="spellStart"/>
      <w:r w:rsidRPr="00021936">
        <w:rPr>
          <w:rFonts w:ascii="Segoe UI" w:eastAsia="Times New Roman" w:hAnsi="Segoe UI" w:cs="Segoe UI"/>
          <w:b/>
          <w:szCs w:val="24"/>
          <w:lang w:eastAsia="es-CO"/>
        </w:rPr>
        <w:t>Ref</w:t>
      </w:r>
      <w:proofErr w:type="spellEnd"/>
      <w:r w:rsidRPr="00021936">
        <w:rPr>
          <w:rFonts w:ascii="Segoe UI" w:eastAsia="Times New Roman" w:hAnsi="Segoe UI" w:cs="Segoe UI"/>
          <w:b/>
          <w:szCs w:val="24"/>
          <w:lang w:eastAsia="es-CO"/>
        </w:rPr>
        <w:t>:</w:t>
      </w:r>
      <w:r w:rsidRPr="00021936">
        <w:rPr>
          <w:rFonts w:ascii="Segoe UI" w:eastAsia="Times New Roman" w:hAnsi="Segoe UI" w:cs="Segoe UI"/>
          <w:szCs w:val="24"/>
          <w:lang w:eastAsia="es-CO"/>
        </w:rPr>
        <w:t xml:space="preserve"> Radicado 000110 del 17/03/2017</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szCs w:val="24"/>
          <w:lang w:eastAsia="es-CO"/>
        </w:rPr>
        <w:t xml:space="preserve">Tema </w:t>
      </w:r>
      <w:r w:rsidRPr="00021936">
        <w:rPr>
          <w:rFonts w:ascii="Segoe UI" w:eastAsia="Times New Roman" w:hAnsi="Segoe UI" w:cs="Segoe UI"/>
          <w:szCs w:val="24"/>
          <w:lang w:eastAsia="es-CO"/>
        </w:rPr>
        <w:t>Impuesto sobre la Renta y Complementarios</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szCs w:val="24"/>
          <w:lang w:eastAsia="es-CO"/>
        </w:rPr>
        <w:t xml:space="preserve">Descriptores </w:t>
      </w:r>
      <w:r w:rsidRPr="00021936">
        <w:rPr>
          <w:rFonts w:ascii="Segoe UI" w:eastAsia="Times New Roman" w:hAnsi="Segoe UI" w:cs="Segoe UI"/>
          <w:szCs w:val="24"/>
          <w:lang w:eastAsia="es-CO"/>
        </w:rPr>
        <w:t>Consorcios</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szCs w:val="24"/>
          <w:lang w:eastAsia="es-CO"/>
        </w:rPr>
        <w:t xml:space="preserve">Fuentes formales </w:t>
      </w:r>
      <w:hyperlink r:id="rId5"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xml:space="preserve">Consulta usted si el certificado que debe elaborar el revisor fiscal o el contador dentro del principio de transparencia en los contratos de colaboración empresarial al que hace alusión el parágrafo 1° del </w:t>
      </w:r>
      <w:hyperlink r:id="rId6"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cuando se trata de un gestor en el sector petrolero, debe elaborarse con que periodicidad? O si el tema va a ser objeto de reglamentación</w:t>
      </w:r>
      <w:proofErr w:type="gramStart"/>
      <w:r w:rsidRPr="00021936">
        <w:rPr>
          <w:rFonts w:ascii="Segoe UI" w:eastAsia="Times New Roman" w:hAnsi="Segoe UI" w:cs="Segoe UI"/>
          <w:szCs w:val="24"/>
          <w:lang w:eastAsia="es-CO"/>
        </w:rPr>
        <w:t>?</w:t>
      </w:r>
      <w:proofErr w:type="gramEnd"/>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En primer lugar señalamos que responderemos su consulta mediante la elaboración de nueva doctrina, ya que en la consulta atendida inicialmente por la Coordinación de Relatoría, por el gran cúmulo de peticiones sumado al hecho de que usted la realizó por el sistema PQRS y los términos para dar respuesta a éstas son estrictamente perentorios.</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Con relación a su inquietud es importante tener en cuenta el contexto fáctico del caso planteado, la normatividad y doctrina vigente sobre el tema.</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xml:space="preserve">En efecto el </w:t>
      </w:r>
      <w:hyperlink r:id="rId7"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señala:</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w:t>
      </w:r>
      <w:hyperlink r:id="rId8" w:tooltip="Estatuto Tributario CETA" w:history="1">
        <w:r w:rsidRPr="00021936">
          <w:rPr>
            <w:rFonts w:ascii="Segoe UI" w:eastAsia="Times New Roman" w:hAnsi="Segoe UI" w:cs="Segoe UI"/>
            <w:b/>
            <w:i/>
            <w:color w:val="0000FF"/>
            <w:szCs w:val="24"/>
            <w:u w:val="single"/>
            <w:lang w:eastAsia="es-CO"/>
          </w:rPr>
          <w:t>Artículo 18</w:t>
        </w:r>
      </w:hyperlink>
      <w:r w:rsidRPr="00021936">
        <w:rPr>
          <w:rFonts w:ascii="Segoe UI" w:eastAsia="Times New Roman" w:hAnsi="Segoe UI" w:cs="Segoe UI"/>
          <w:b/>
          <w:i/>
          <w:szCs w:val="24"/>
          <w:lang w:eastAsia="es-CO"/>
        </w:rPr>
        <w:t>. Contratos de colaboración empresarial. (ART. MODIFICADO POR ART 20 LA LEY 1819 DE 2016).</w:t>
      </w:r>
      <w:r w:rsidRPr="00021936">
        <w:rPr>
          <w:rFonts w:ascii="Segoe UI" w:eastAsia="Times New Roman" w:hAnsi="Segoe UI" w:cs="Segoe UI"/>
          <w:szCs w:val="24"/>
          <w:lang w:eastAsia="es-CO"/>
        </w:rPr>
        <w:t xml:space="preserve"> </w:t>
      </w:r>
      <w:r w:rsidRPr="00021936">
        <w:rPr>
          <w:rFonts w:ascii="Segoe UI" w:eastAsia="Times New Roman" w:hAnsi="Segoe UI" w:cs="Segoe UI"/>
          <w:i/>
          <w:szCs w:val="24"/>
          <w:lang w:eastAsia="es-CO"/>
        </w:rPr>
        <w:t xml:space="preserve">Los contratos de colaboración empresarial tales como consorcios, uniones temporales, </w:t>
      </w:r>
      <w:proofErr w:type="spellStart"/>
      <w:r w:rsidRPr="00021936">
        <w:rPr>
          <w:rFonts w:ascii="Segoe UI" w:eastAsia="Times New Roman" w:hAnsi="Segoe UI" w:cs="Segoe UI"/>
          <w:i/>
          <w:szCs w:val="24"/>
          <w:lang w:eastAsia="es-CO"/>
        </w:rPr>
        <w:t>joint</w:t>
      </w:r>
      <w:proofErr w:type="spellEnd"/>
      <w:r w:rsidRPr="00021936">
        <w:rPr>
          <w:rFonts w:ascii="Segoe UI" w:eastAsia="Times New Roman" w:hAnsi="Segoe UI" w:cs="Segoe UI"/>
          <w:i/>
          <w:szCs w:val="24"/>
          <w:lang w:eastAsia="es-CO"/>
        </w:rPr>
        <w:t xml:space="preserve"> </w:t>
      </w:r>
      <w:proofErr w:type="spellStart"/>
      <w:r w:rsidRPr="00021936">
        <w:rPr>
          <w:rFonts w:ascii="Segoe UI" w:eastAsia="Times New Roman" w:hAnsi="Segoe UI" w:cs="Segoe UI"/>
          <w:i/>
          <w:szCs w:val="24"/>
          <w:lang w:eastAsia="es-CO"/>
        </w:rPr>
        <w:t>ventures</w:t>
      </w:r>
      <w:proofErr w:type="spellEnd"/>
      <w:r w:rsidRPr="00021936">
        <w:rPr>
          <w:rFonts w:ascii="Segoe UI" w:eastAsia="Times New Roman" w:hAnsi="Segoe UI" w:cs="Segoe UI"/>
          <w:i/>
          <w:szCs w:val="24"/>
          <w:lang w:eastAsia="es-CO"/>
        </w:rPr>
        <w:t xml:space="preserve"> y cuentas en participación, no </w:t>
      </w:r>
      <w:r w:rsidRPr="00021936">
        <w:rPr>
          <w:rFonts w:ascii="Segoe UI" w:eastAsia="Times New Roman" w:hAnsi="Segoe UI" w:cs="Segoe UI"/>
          <w:i/>
          <w:szCs w:val="24"/>
          <w:lang w:eastAsia="es-CO"/>
        </w:rPr>
        <w:lastRenderedPageBreak/>
        <w:t>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empresarial que permita verificar los ingresos, costos y gastos incurridos en desarrollo del mismo.</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Las partes en el contrato de colaboración empresarial deberán suministrar toda la información que sea solicitada por la DIAN en relación con los contratos de colaboración empresarial.</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Las relaciones comerciales que tengan las partes del contrato de colaboración empresarial con el contrato de colaboración empresarial que tengan un rendimiento garantizado, se tratarán por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PARÁGRAFO 1o.</w:t>
      </w:r>
      <w:r w:rsidRPr="00021936">
        <w:rPr>
          <w:rFonts w:ascii="Segoe UI" w:eastAsia="Times New Roman" w:hAnsi="Segoe UI" w:cs="Segoe UI"/>
          <w:i/>
          <w:szCs w:val="24"/>
          <w:lang w:eastAsia="es-CO"/>
        </w:rPr>
        <w:t xml:space="preserve"> </w:t>
      </w:r>
      <w:r w:rsidRPr="00021936">
        <w:rPr>
          <w:rFonts w:ascii="Segoe UI" w:eastAsia="Times New Roman" w:hAnsi="Segoe UI" w:cs="Segoe UI"/>
          <w:i/>
          <w:szCs w:val="24"/>
          <w:u w:val="single"/>
          <w:lang w:eastAsia="es-CO"/>
        </w:rPr>
        <w:t>En los contratos de colaboración empresarial el gestor, representante o administrador del contrato deberá certificar y proporcionar a los participantes, consorciados, asociados o unidos temporalmente la información financiera y fiscal relacionada con el contrato. La certificación deberá estar firmada por el representante legal o quien haga sus veces y el contador público o revisor fiscal respectivo.</w:t>
      </w:r>
      <w:r w:rsidRPr="00021936">
        <w:rPr>
          <w:rFonts w:ascii="Segoe UI" w:eastAsia="Times New Roman" w:hAnsi="Segoe UI" w:cs="Segoe UI"/>
          <w:i/>
          <w:szCs w:val="24"/>
          <w:lang w:eastAsia="es-CO"/>
        </w:rPr>
        <w:t xml:space="preserve"> En el caso del contrato de cuentas en participación, la certificación expedida por el gestor al partícipe oculto hace las veces del registro sobre las actividades desarrolladas en virtud del contrato de cuentas en participación. (Subrayado fuera del texto)</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 xml:space="preserve">PARÁGRAFO 2o. </w:t>
      </w:r>
      <w:r w:rsidRPr="00021936">
        <w:rPr>
          <w:rFonts w:ascii="Segoe UI" w:eastAsia="Times New Roman" w:hAnsi="Segoe UI" w:cs="Segoe UI"/>
          <w:i/>
          <w:szCs w:val="24"/>
          <w:lang w:eastAsia="es-CO"/>
        </w:rPr>
        <w:t>Las partes del contrato de colaboración empresarial podrán establecer que el contrato de colaboración empresarial llevará contabilidad de conformidad con lo previsto en los nuevos marcos técnicos normativos de información financiera que les sean aplicables.”</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xml:space="preserve">En segundo lugar, el caso concreto de la obligación que tiene el gestor, representante o administrador del contrato y el contador público o revisor fiscal para la expedición de la certificación de que trata el parágrafo 1° del </w:t>
      </w:r>
      <w:hyperlink r:id="rId9" w:tooltip="Estatuto Tributario CETA" w:history="1">
        <w:r w:rsidRPr="00021936">
          <w:rPr>
            <w:rFonts w:ascii="Segoe UI" w:eastAsia="Times New Roman" w:hAnsi="Segoe UI" w:cs="Segoe UI"/>
            <w:color w:val="0000FF"/>
            <w:szCs w:val="24"/>
            <w:u w:val="single"/>
            <w:lang w:eastAsia="es-CO"/>
          </w:rPr>
          <w:t>artículo 18</w:t>
        </w:r>
      </w:hyperlink>
      <w:r w:rsidRPr="00021936">
        <w:rPr>
          <w:rFonts w:ascii="Segoe UI" w:eastAsia="Times New Roman" w:hAnsi="Segoe UI" w:cs="Segoe UI"/>
          <w:szCs w:val="24"/>
          <w:lang w:eastAsia="es-CO"/>
        </w:rPr>
        <w:t xml:space="preserve"> del Estatuto Tributario, lo cual es propio de los consorcios o uniones temporales, que al no ser estos contribuyentes de renta, se hace necesaria la expedición de la mencionada certificación para que los consorciados puedan declarar sus ingresos, costos, deducciones y demás aspectos relacionados dentro del período fiscal correspondiente, como lo son las retenciones y </w:t>
      </w:r>
      <w:proofErr w:type="spellStart"/>
      <w:r w:rsidRPr="00021936">
        <w:rPr>
          <w:rFonts w:ascii="Segoe UI" w:eastAsia="Times New Roman" w:hAnsi="Segoe UI" w:cs="Segoe UI"/>
          <w:szCs w:val="24"/>
          <w:lang w:eastAsia="es-CO"/>
        </w:rPr>
        <w:t>autorretenciones</w:t>
      </w:r>
      <w:proofErr w:type="spellEnd"/>
      <w:r w:rsidRPr="00021936">
        <w:rPr>
          <w:rFonts w:ascii="Segoe UI" w:eastAsia="Times New Roman" w:hAnsi="Segoe UI" w:cs="Segoe UI"/>
          <w:szCs w:val="24"/>
          <w:lang w:eastAsia="es-CO"/>
        </w:rPr>
        <w:t>, entre otros aspectos, para lo cual deberá considerarse el contenido del concepto 030948 de octubre 26 de 1999 cuya copia se adjunta para mayor ilustración, y que en lo pertinente precisa:</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szCs w:val="24"/>
          <w:lang w:eastAsia="es-CO"/>
        </w:rPr>
        <w:lastRenderedPageBreak/>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“Frente al tema planteado, este despacho se ha pronunciado en reiteradas oportunidades al respecto, explicando que en cuanto al impuesto sobre la Renta y sus Complementarios y de conformidad con lo preceptuado por el artículo 61 de la ley 223 de 1.995, los consorcios y las uniones temporales no son contribuyentes del impuesto sobre la renta y complementarios.</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 xml:space="preserve">Los ingresos percibidos por los consorcios como contraprestación por la ejecución en el país de contratos celebrados con entidades estatales, son </w:t>
      </w:r>
      <w:proofErr w:type="gramStart"/>
      <w:r w:rsidRPr="00021936">
        <w:rPr>
          <w:rFonts w:ascii="Segoe UI" w:eastAsia="Times New Roman" w:hAnsi="Segoe UI" w:cs="Segoe UI"/>
          <w:b/>
          <w:i/>
          <w:szCs w:val="24"/>
          <w:lang w:eastAsia="es-CO"/>
        </w:rPr>
        <w:t>gravadas</w:t>
      </w:r>
      <w:proofErr w:type="gramEnd"/>
      <w:r w:rsidRPr="00021936">
        <w:rPr>
          <w:rFonts w:ascii="Segoe UI" w:eastAsia="Times New Roman" w:hAnsi="Segoe UI" w:cs="Segoe UI"/>
          <w:b/>
          <w:i/>
          <w:szCs w:val="24"/>
          <w:lang w:eastAsia="es-CO"/>
        </w:rPr>
        <w:t xml:space="preserve"> con el impuesto sobre la renta y sus complementarios en cabeza de cada uno de los miembros del consorcio.</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Siendo el consorcio una modalidad del contrato empresarial por el cual dos o más personas se unen temporalmente con el fin de ejecutar contratos, aunando capital y tecnología pero conservando su autonomía personal, económica y administrativa, resulta que para efectos impositivos y por disposición legal a partir del año gravable de 1.996, los consorcios no constituyen una persona jurídica distinta de los consorciados, si bien es agente retenedor cuando intervenga efectuando pagos o abonos en cuenta en operaciones sometidas a retención en la fuente a título del impuesto sobre la renta. (Concepto No. 32501/98).</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lang w:eastAsia="es-CO"/>
        </w:rPr>
        <w:t> </w:t>
      </w:r>
    </w:p>
    <w:p w:rsidR="00021936" w:rsidRPr="00021936" w:rsidRDefault="00021936" w:rsidP="00021936">
      <w:pPr>
        <w:spacing w:line="240" w:lineRule="auto"/>
        <w:ind w:left="180"/>
        <w:rPr>
          <w:rFonts w:eastAsia="Times New Roman" w:cs="Times New Roman"/>
          <w:szCs w:val="24"/>
          <w:lang w:eastAsia="es-CO"/>
        </w:rPr>
      </w:pPr>
      <w:r w:rsidRPr="00021936">
        <w:rPr>
          <w:rFonts w:ascii="Segoe UI" w:eastAsia="Times New Roman" w:hAnsi="Segoe UI" w:cs="Segoe UI"/>
          <w:b/>
          <w:i/>
          <w:szCs w:val="24"/>
          <w:u w:val="single"/>
          <w:lang w:eastAsia="es-CO"/>
        </w:rPr>
        <w:t>De otra parte, los miembros del consorcio o de la unión temporal deben llevar contabilidad y declarar de manera independiente los ingresos, costos y deducciones que les correspondan, de acuerdo con su participación en los ingresos, costos y deducciones del consorcio o unión temporal, en lo que concierne al soporte de la contabilización respectiva y de la declaración de renta de los consorciados, cabe señalar la conveniencia que los consorcios lleven un registro contable de sus ingresos, costos y gastos generados en el desarrollo de los contratos. Esto con el fin de demostrar y facilitar el adecuado cumplimiento de las obligaciones impositivas sustanciales y formales a cargo de los consorciados contribuyentes del impuesto.”</w:t>
      </w:r>
      <w:r w:rsidRPr="00021936">
        <w:rPr>
          <w:rFonts w:ascii="Segoe UI" w:eastAsia="Times New Roman" w:hAnsi="Segoe UI" w:cs="Segoe UI"/>
          <w:b/>
          <w:i/>
          <w:szCs w:val="24"/>
          <w:lang w:eastAsia="es-CO"/>
        </w:rPr>
        <w:t xml:space="preserve"> </w:t>
      </w:r>
      <w:r w:rsidRPr="00021936">
        <w:rPr>
          <w:rFonts w:ascii="Segoe UI" w:eastAsia="Times New Roman" w:hAnsi="Segoe UI" w:cs="Segoe UI"/>
          <w:szCs w:val="24"/>
          <w:lang w:eastAsia="es-CO"/>
        </w:rPr>
        <w:t>(Resaltado y subrayado fuera del texto original.)</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En consecuencia, la obligación de llevar los registros de las diferentes operaciones de cada miembro del contrato de colaboración empresarial indicados en la primera parte del parágrafo 1° del artículo en mención, y la obligación de certificarlas por parte del gestor con su firma y la del contador o revisor fiscal ahora expresamente exigida no es nueva, siempre ha existido, nunca se ha reglamentado la periodicidad con que se debe expedir, por tanto según las cláusulas del contrato de colaboración empresarial y los efectos tributarios que devienen del mismo acto frente a la realización de los ingresos, costos, gastos, activos, pasivos, pagos y abonos en cuenta, deberá entenderse que tal periodicidad corresponderá según su necesidad para cumplir con las obligaciones fiscales que establece la norma tributaria.</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xml:space="preserve">De esta manera se atiende su </w:t>
      </w:r>
      <w:proofErr w:type="spellStart"/>
      <w:r w:rsidRPr="00021936">
        <w:rPr>
          <w:rFonts w:ascii="Segoe UI" w:eastAsia="Times New Roman" w:hAnsi="Segoe UI" w:cs="Segoe UI"/>
          <w:szCs w:val="24"/>
          <w:lang w:eastAsia="es-CO"/>
        </w:rPr>
        <w:t>conculta</w:t>
      </w:r>
      <w:proofErr w:type="spellEnd"/>
      <w:r w:rsidRPr="00021936">
        <w:rPr>
          <w:rFonts w:ascii="Segoe UI" w:eastAsia="Times New Roman" w:hAnsi="Segoe UI" w:cs="Segoe UI"/>
          <w:szCs w:val="24"/>
          <w:lang w:eastAsia="es-CO"/>
        </w:rPr>
        <w:t xml:space="preserve"> (sic). Finalmente, le informamos que puede consultar la base de conceptos expedidos por la Dirección de Impuestos y Aduanas</w:t>
      </w:r>
      <w:bookmarkStart w:id="0" w:name="_GoBack"/>
      <w:bookmarkEnd w:id="0"/>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lastRenderedPageBreak/>
        <w:t>Atentamente,</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 </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b/>
          <w:szCs w:val="24"/>
          <w:lang w:eastAsia="es-CO"/>
        </w:rPr>
        <w:t>PEDRO PABLO CONTRERAS CAMARGO</w:t>
      </w:r>
    </w:p>
    <w:p w:rsidR="00021936" w:rsidRPr="00021936" w:rsidRDefault="00021936" w:rsidP="00021936">
      <w:pPr>
        <w:spacing w:line="240" w:lineRule="auto"/>
        <w:rPr>
          <w:rFonts w:eastAsia="Times New Roman" w:cs="Times New Roman"/>
          <w:szCs w:val="24"/>
          <w:lang w:eastAsia="es-CO"/>
        </w:rPr>
      </w:pPr>
      <w:r w:rsidRPr="00021936">
        <w:rPr>
          <w:rFonts w:ascii="Segoe UI" w:eastAsia="Times New Roman" w:hAnsi="Segoe UI" w:cs="Segoe UI"/>
          <w:szCs w:val="24"/>
          <w:lang w:eastAsia="es-CO"/>
        </w:rPr>
        <w:t>Subdirector de Gestión Normativa y Doctrina</w:t>
      </w:r>
    </w:p>
    <w:p w:rsidR="00021936" w:rsidRPr="00021936" w:rsidRDefault="00021936" w:rsidP="00021936">
      <w:pPr>
        <w:spacing w:before="100" w:beforeAutospacing="1" w:after="100" w:afterAutospacing="1" w:line="240" w:lineRule="auto"/>
        <w:jc w:val="left"/>
        <w:rPr>
          <w:rFonts w:eastAsia="Times New Roman" w:cs="Times New Roman"/>
          <w:szCs w:val="24"/>
          <w:lang w:eastAsia="es-CO"/>
        </w:rPr>
      </w:pPr>
      <w:r w:rsidRPr="00021936">
        <w:rPr>
          <w:rFonts w:eastAsia="Times New Roman" w:cs="Times New Roman"/>
          <w:szCs w:val="24"/>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36"/>
    <w:rsid w:val="00021936"/>
    <w:rsid w:val="0029351E"/>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3ECD-5F61-40AA-9D1C-2F77F89A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 TargetMode="External"/><Relationship Id="rId11" Type="http://schemas.openxmlformats.org/officeDocument/2006/relationships/theme" Target="theme/theme1.xml"/><Relationship Id="rId5" Type="http://schemas.openxmlformats.org/officeDocument/2006/relationships/hyperlink" Target="https://www.ceta.org.co/html/vista_de_un_articulo.asp?Norma=42" TargetMode="External"/><Relationship Id="rId10" Type="http://schemas.openxmlformats.org/officeDocument/2006/relationships/fontTable" Target="fontTable.xml"/><Relationship Id="rId4" Type="http://schemas.openxmlformats.org/officeDocument/2006/relationships/hyperlink" Target="mailto:javierjaiquel1967@hotmail.com" TargetMode="External"/><Relationship Id="rId9" Type="http://schemas.openxmlformats.org/officeDocument/2006/relationships/hyperlink" Target="https://www.ceta.org.co/html/vista_de_un_articulo.asp?Norma=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7341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2017-06-07T02:08:00Z</dcterms:created>
  <dcterms:modified xsi:type="dcterms:W3CDTF">2017-06-07T02:09:00Z</dcterms:modified>
</cp:coreProperties>
</file>