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8B" w:rsidRPr="0093368B" w:rsidRDefault="0093368B" w:rsidP="0093368B">
      <w:pPr>
        <w:spacing w:line="240" w:lineRule="auto"/>
        <w:jc w:val="center"/>
        <w:rPr>
          <w:rFonts w:eastAsia="Times New Roman" w:cs="Times New Roman"/>
          <w:szCs w:val="24"/>
          <w:lang w:eastAsia="es-CO"/>
        </w:rPr>
      </w:pPr>
      <w:r w:rsidRPr="0093368B">
        <w:rPr>
          <w:rFonts w:ascii="Segoe UI" w:eastAsia="Times New Roman" w:hAnsi="Segoe UI" w:cs="Segoe UI"/>
          <w:b/>
          <w:color w:val="0000FF"/>
          <w:sz w:val="28"/>
          <w:lang w:eastAsia="es-CO"/>
        </w:rPr>
        <w:t>OFICIO Nº 010694</w:t>
      </w:r>
    </w:p>
    <w:p w:rsidR="0093368B" w:rsidRPr="0093368B" w:rsidRDefault="0093368B" w:rsidP="0093368B">
      <w:pPr>
        <w:spacing w:line="240" w:lineRule="auto"/>
        <w:jc w:val="center"/>
        <w:rPr>
          <w:rFonts w:eastAsia="Times New Roman" w:cs="Times New Roman"/>
          <w:szCs w:val="24"/>
          <w:lang w:eastAsia="es-CO"/>
        </w:rPr>
      </w:pPr>
      <w:r w:rsidRPr="0093368B">
        <w:rPr>
          <w:rFonts w:ascii="Segoe UI" w:eastAsia="Times New Roman" w:hAnsi="Segoe UI" w:cs="Segoe UI"/>
          <w:b/>
          <w:color w:val="0000FF"/>
          <w:sz w:val="28"/>
          <w:lang w:eastAsia="es-CO"/>
        </w:rPr>
        <w:t>05-05-2017</w:t>
      </w:r>
    </w:p>
    <w:p w:rsidR="0093368B" w:rsidRPr="0093368B" w:rsidRDefault="0093368B" w:rsidP="0093368B">
      <w:pPr>
        <w:spacing w:line="240" w:lineRule="auto"/>
        <w:jc w:val="center"/>
        <w:rPr>
          <w:rFonts w:eastAsia="Times New Roman" w:cs="Times New Roman"/>
          <w:szCs w:val="24"/>
          <w:lang w:eastAsia="es-CO"/>
        </w:rPr>
      </w:pPr>
      <w:r w:rsidRPr="0093368B">
        <w:rPr>
          <w:rFonts w:ascii="Segoe UI" w:eastAsia="Times New Roman" w:hAnsi="Segoe UI" w:cs="Segoe UI"/>
          <w:b/>
          <w:color w:val="0000FF"/>
          <w:sz w:val="28"/>
          <w:lang w:eastAsia="es-CO"/>
        </w:rPr>
        <w:t>DIAN</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color w:val="0000FF"/>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color w:val="0000FF"/>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Bogotá D.C.</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100202208-0390</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Señor</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b/>
          <w:szCs w:val="24"/>
          <w:lang w:eastAsia="es-CO"/>
        </w:rPr>
        <w:t>CARLOS FORERO JIMÉNEZ</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Representante legal</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IMPALA TERMINALS COLOMBIA S.A.S.</w:t>
      </w:r>
    </w:p>
    <w:p w:rsidR="0093368B" w:rsidRPr="0093368B" w:rsidRDefault="0093368B" w:rsidP="0093368B">
      <w:pPr>
        <w:spacing w:line="240" w:lineRule="auto"/>
        <w:rPr>
          <w:rFonts w:eastAsia="Times New Roman" w:cs="Times New Roman"/>
          <w:szCs w:val="24"/>
          <w:lang w:eastAsia="es-CO"/>
        </w:rPr>
      </w:pPr>
      <w:hyperlink r:id="rId4" w:history="1">
        <w:proofErr w:type="spellStart"/>
        <w:r w:rsidRPr="0093368B">
          <w:rPr>
            <w:rFonts w:ascii="Segoe UI" w:eastAsia="Times New Roman" w:hAnsi="Segoe UI" w:cs="Segoe UI"/>
            <w:color w:val="0000FF"/>
            <w:szCs w:val="24"/>
            <w:u w:val="single"/>
            <w:lang w:eastAsia="es-CO"/>
          </w:rPr>
          <w:t>carlos.forero@trafigura.com</w:t>
        </w:r>
        <w:proofErr w:type="spellEnd"/>
      </w:hyperlink>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Carrera 11 # 82-01 Piso 7 Centro Comercial y de Negocios Andino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Bogotá D.C.</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b/>
          <w:szCs w:val="24"/>
          <w:lang w:eastAsia="es-CO"/>
        </w:rPr>
        <w:t>Ref.:</w:t>
      </w:r>
      <w:r w:rsidRPr="0093368B">
        <w:rPr>
          <w:rFonts w:ascii="Segoe UI" w:eastAsia="Times New Roman" w:hAnsi="Segoe UI" w:cs="Segoe UI"/>
          <w:szCs w:val="24"/>
          <w:lang w:eastAsia="es-CO"/>
        </w:rPr>
        <w:t xml:space="preserve"> Radicado No. 000152 del 4 de abril de 2017</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Atento saludo Sr. Forero Jiménez:</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 ámbito dentro del cual será atendida su solicitud.</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Mediante el radicado de la referencia plantea varias preguntas las cuales se resolverán cada una a su turno.</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xml:space="preserve">1. Plantea que </w:t>
      </w:r>
      <w:r w:rsidRPr="0093368B">
        <w:rPr>
          <w:rFonts w:ascii="Segoe UI" w:eastAsia="Times New Roman" w:hAnsi="Segoe UI" w:cs="Segoe UI"/>
          <w:i/>
          <w:szCs w:val="24"/>
          <w:lang w:eastAsia="es-CO"/>
        </w:rPr>
        <w:t xml:space="preserve">“[u]na Sociedad Compradora Extranjera (B) negocia con la Sociedad Vendedora Colombia (A) </w:t>
      </w:r>
      <w:r w:rsidRPr="0093368B">
        <w:rPr>
          <w:rFonts w:ascii="Segoe UI" w:eastAsia="Times New Roman" w:hAnsi="Segoe UI" w:cs="Segoe UI"/>
          <w:b/>
          <w:i/>
          <w:szCs w:val="24"/>
          <w:lang w:eastAsia="es-CO"/>
        </w:rPr>
        <w:t>la compraventa de un bien que está ubicado en Colombia”</w:t>
      </w:r>
      <w:r w:rsidRPr="0093368B">
        <w:rPr>
          <w:rFonts w:ascii="Segoe UI" w:eastAsia="Times New Roman" w:hAnsi="Segoe UI" w:cs="Segoe UI"/>
          <w:i/>
          <w:szCs w:val="24"/>
          <w:lang w:eastAsia="es-CO"/>
        </w:rPr>
        <w:t xml:space="preserve"> </w:t>
      </w:r>
      <w:r w:rsidRPr="0093368B">
        <w:rPr>
          <w:rFonts w:ascii="Segoe UI" w:eastAsia="Times New Roman" w:hAnsi="Segoe UI" w:cs="Segoe UI"/>
          <w:szCs w:val="24"/>
          <w:lang w:eastAsia="es-CO"/>
        </w:rPr>
        <w:t xml:space="preserve">(negrilla fuera de texto), </w:t>
      </w:r>
      <w:r w:rsidRPr="0093368B">
        <w:rPr>
          <w:rFonts w:ascii="Segoe UI" w:eastAsia="Times New Roman" w:hAnsi="Segoe UI" w:cs="Segoe UI"/>
          <w:i/>
          <w:szCs w:val="24"/>
          <w:lang w:eastAsia="es-CO"/>
        </w:rPr>
        <w:t>“[l]a Sociedad Vendedora Colombiana (A) negocia con la Sociedad Compradora Extranjera (B) un término INCOTERM que implica que la Sociedad Colombiana (A) hace entrega del bien a la Sociedad Extranjera (B) en Colombia”.</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xml:space="preserve">“Como consecuencia de lo anterior, la Sociedad Compradora Extranjera (B) debe contratar </w:t>
      </w:r>
      <w:r w:rsidRPr="0093368B">
        <w:rPr>
          <w:rFonts w:ascii="Segoe UI" w:eastAsia="Times New Roman" w:hAnsi="Segoe UI" w:cs="Segoe UI"/>
          <w:b/>
          <w:i/>
          <w:szCs w:val="24"/>
          <w:lang w:eastAsia="es-CO"/>
        </w:rPr>
        <w:t>el servicio de transporte local en Colombia con una Sociedad Colombiana Prestadora de Servicios (C) para poder recibir en el extranjero los bienes que compró</w:t>
      </w:r>
      <w:r w:rsidRPr="0093368B">
        <w:rPr>
          <w:rFonts w:ascii="Segoe UI" w:eastAsia="Times New Roman" w:hAnsi="Segoe UI" w:cs="Segoe UI"/>
          <w:i/>
          <w:szCs w:val="24"/>
          <w:lang w:eastAsia="es-CO"/>
        </w:rPr>
        <w:t xml:space="preserve"> a la Sociedad Vendedora Colombiana (A)” </w:t>
      </w:r>
      <w:r w:rsidRPr="0093368B">
        <w:rPr>
          <w:rFonts w:ascii="Segoe UI" w:eastAsia="Times New Roman" w:hAnsi="Segoe UI" w:cs="Segoe UI"/>
          <w:szCs w:val="24"/>
          <w:lang w:eastAsia="es-CO"/>
        </w:rPr>
        <w:t>(negrilla fuera de texto).</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xml:space="preserve">Así las cosas, consulta si </w:t>
      </w:r>
      <w:r w:rsidRPr="0093368B">
        <w:rPr>
          <w:rFonts w:ascii="Segoe UI" w:eastAsia="Times New Roman" w:hAnsi="Segoe UI" w:cs="Segoe UI"/>
          <w:i/>
          <w:szCs w:val="24"/>
          <w:lang w:eastAsia="es-CO"/>
        </w:rPr>
        <w:t xml:space="preserve">“el beneficio, provecho o utilidad del servicio que la Sociedad Colombiana Prestadora de Servicios (C) le está prestando en Colombia a la Sociedad Compradora Extranjera (B), </w:t>
      </w:r>
      <w:r w:rsidRPr="0093368B">
        <w:rPr>
          <w:rFonts w:ascii="Segoe UI" w:eastAsia="Times New Roman" w:hAnsi="Segoe UI" w:cs="Segoe UI"/>
          <w:b/>
          <w:i/>
          <w:szCs w:val="24"/>
          <w:lang w:eastAsia="es-CO"/>
        </w:rPr>
        <w:t xml:space="preserve">se percibe exclusivamente en el exterior </w:t>
      </w:r>
      <w:r w:rsidRPr="0093368B">
        <w:rPr>
          <w:rFonts w:ascii="Segoe UI" w:eastAsia="Times New Roman" w:hAnsi="Segoe UI" w:cs="Segoe UI"/>
          <w:i/>
          <w:szCs w:val="24"/>
          <w:lang w:eastAsia="es-CO"/>
        </w:rPr>
        <w:t xml:space="preserve">y en beneficio de la Sociedad Compradora Extranjera (B)” </w:t>
      </w:r>
      <w:r w:rsidRPr="0093368B">
        <w:rPr>
          <w:rFonts w:ascii="Segoe UI" w:eastAsia="Times New Roman" w:hAnsi="Segoe UI" w:cs="Segoe UI"/>
          <w:szCs w:val="24"/>
          <w:lang w:eastAsia="es-CO"/>
        </w:rPr>
        <w:t>(negrilla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lastRenderedPageBreak/>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En lo concerniente al impuesto sobre la renta y complementarios, mediante Concepto No. 014336 del 15 de septiembre de 1999 la Administración Tributaria señaló:</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xml:space="preserve">Ahora bien, en materia del impuesto sobre las ventas, el </w:t>
      </w:r>
      <w:hyperlink r:id="rId5" w:tooltip="Estatuto Tributario CETA" w:history="1">
        <w:r w:rsidRPr="0093368B">
          <w:rPr>
            <w:rFonts w:ascii="Segoe UI" w:eastAsia="Times New Roman" w:hAnsi="Segoe UI" w:cs="Segoe UI"/>
            <w:color w:val="0000FF"/>
            <w:szCs w:val="24"/>
            <w:u w:val="single"/>
            <w:lang w:eastAsia="es-CO"/>
          </w:rPr>
          <w:t>artículo 481</w:t>
        </w:r>
      </w:hyperlink>
      <w:r w:rsidRPr="0093368B">
        <w:rPr>
          <w:rFonts w:ascii="Segoe UI" w:eastAsia="Times New Roman" w:hAnsi="Segoe UI" w:cs="Segoe UI"/>
          <w:szCs w:val="24"/>
          <w:lang w:eastAsia="es-CO"/>
        </w:rPr>
        <w:t xml:space="preserve"> del Estatuto Tributario dispone que son exentos con derecho a devolución bimestral </w:t>
      </w:r>
      <w:r w:rsidRPr="0093368B">
        <w:rPr>
          <w:rFonts w:ascii="Segoe UI" w:eastAsia="Times New Roman" w:hAnsi="Segoe UI" w:cs="Segoe UI"/>
          <w:i/>
          <w:szCs w:val="24"/>
          <w:lang w:eastAsia="es-CO"/>
        </w:rPr>
        <w:t xml:space="preserve">“[l]os servicios que sean prestados en el país y </w:t>
      </w:r>
      <w:r w:rsidRPr="0093368B">
        <w:rPr>
          <w:rFonts w:ascii="Segoe UI" w:eastAsia="Times New Roman" w:hAnsi="Segoe UI" w:cs="Segoe UI"/>
          <w:b/>
          <w:i/>
          <w:szCs w:val="24"/>
          <w:lang w:eastAsia="es-CO"/>
        </w:rPr>
        <w:t>se utilicen exclusivamente en el exterior</w:t>
      </w:r>
      <w:r w:rsidRPr="0093368B">
        <w:rPr>
          <w:rFonts w:ascii="Segoe UI" w:eastAsia="Times New Roman" w:hAnsi="Segoe UI" w:cs="Segoe UI"/>
          <w:i/>
          <w:szCs w:val="24"/>
          <w:lang w:eastAsia="es-CO"/>
        </w:rPr>
        <w:t xml:space="preserve"> por empresas o personas sin negocios o actividades en Colombia, de acuerdo con los requisitos que señale el reglamento” </w:t>
      </w:r>
      <w:r w:rsidRPr="0093368B">
        <w:rPr>
          <w:rFonts w:ascii="Segoe UI" w:eastAsia="Times New Roman" w:hAnsi="Segoe UI" w:cs="Segoe UI"/>
          <w:szCs w:val="24"/>
          <w:lang w:eastAsia="es-CO"/>
        </w:rPr>
        <w:t>(negrilla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A su vez, el literal h) del artículo 1.6.1.21.15 del Decreto 1625 de 2016 señala que, para quienes presten los servicios en comento, se deberá allegar:</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“1. Copia de uno de los siguientes documentos que acrediten las exportaciones de servicios: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a) Oferta mercantil de servicios o cotización y su correspondiente aceptación.</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b) Contrato celebrado entre las partes.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c) Orden de compra/servicios o carta de intención y acuse de recibe del servicio.</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Así mismo, relación certificada por revisor fiscal o contador público, según el caso, que contenga: tipo y fecha de los documentos que acrediten la exportación de servicios, país a donde se exportó el servicio, descripción del servicio prestado, valor, nombre o razón social del adquirente del servicio y su domicilio o residencia en el exterior.</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2. Relación certificada por revisor fiscal o contador público, según el caso, de las facturas o documentos equivalentes expedidos según la reglamentación del Estatuto Tributario, que contenga la siguiente información: Nombre o razón social, número de identificación y dirección a quien se le prestó el servicio, número, fecha y valor de la factura;</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xml:space="preserve">3. Certificación del prestador del servicio o su representante legal, si se trata de una persona jurídica, manifestando que el servicio fue prestado para ser utilizado o consumido exclusivamente en el exterior y que dicha circunstancia le fue advertida al importador del servicio, salvo que se trate de los servicios señalados en el parágrafo del </w:t>
      </w:r>
      <w:hyperlink r:id="rId6" w:tooltip="Estatuto Tributario CETA" w:history="1">
        <w:r w:rsidRPr="0093368B">
          <w:rPr>
            <w:rFonts w:ascii="Segoe UI" w:eastAsia="Times New Roman" w:hAnsi="Segoe UI" w:cs="Segoe UI"/>
            <w:i/>
            <w:color w:val="0000FF"/>
            <w:szCs w:val="24"/>
            <w:u w:val="single"/>
            <w:lang w:eastAsia="es-CO"/>
          </w:rPr>
          <w:t>artículo 481</w:t>
        </w:r>
      </w:hyperlink>
      <w:r w:rsidRPr="0093368B">
        <w:rPr>
          <w:rFonts w:ascii="Segoe UI" w:eastAsia="Times New Roman" w:hAnsi="Segoe UI" w:cs="Segoe UI"/>
          <w:i/>
          <w:szCs w:val="24"/>
          <w:lang w:eastAsia="es-CO"/>
        </w:rPr>
        <w:t xml:space="preserve"> del Estatuto Tributario, los cuales no se encuentran sujetos al cumplimiento del presente requisito.”.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xml:space="preserve">Por su parte, el Consejo de Estado, Sala de lo Contencioso Administrativo, Sección Cuarta, C.P. WILLIAM GIRALDO </w:t>
      </w:r>
      <w:proofErr w:type="spellStart"/>
      <w:r w:rsidRPr="0093368B">
        <w:rPr>
          <w:rFonts w:ascii="Segoe UI" w:eastAsia="Times New Roman" w:hAnsi="Segoe UI" w:cs="Segoe UI"/>
          <w:szCs w:val="24"/>
          <w:lang w:eastAsia="es-CO"/>
        </w:rPr>
        <w:t>GIRALDO</w:t>
      </w:r>
      <w:proofErr w:type="spellEnd"/>
      <w:r w:rsidRPr="0093368B">
        <w:rPr>
          <w:rFonts w:ascii="Segoe UI" w:eastAsia="Times New Roman" w:hAnsi="Segoe UI" w:cs="Segoe UI"/>
          <w:szCs w:val="24"/>
          <w:lang w:eastAsia="es-CO"/>
        </w:rPr>
        <w:t xml:space="preserve"> en providencia del 4 de marzo de 2010 expresó:</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w:t>
      </w:r>
      <w:r w:rsidRPr="0093368B">
        <w:rPr>
          <w:rFonts w:ascii="Segoe UI" w:eastAsia="Times New Roman" w:hAnsi="Segoe UI" w:cs="Segoe UI"/>
          <w:i/>
          <w:szCs w:val="24"/>
          <w:lang w:eastAsia="es-CO"/>
        </w:rPr>
        <w:t xml:space="preserve">En cuanto a que el servicio sea utilizado total y exclusivamente en el exterior por la empresa foránea, que es lo que en realidad le da la calidad de exportado, se traduce en que </w:t>
      </w:r>
      <w:r w:rsidRPr="0093368B">
        <w:rPr>
          <w:rFonts w:ascii="Segoe UI" w:eastAsia="Times New Roman" w:hAnsi="Segoe UI" w:cs="Segoe UI"/>
          <w:b/>
          <w:i/>
          <w:szCs w:val="24"/>
          <w:lang w:eastAsia="es-CO"/>
        </w:rPr>
        <w:t>el beneficio, provecho o utilidad que reporta la actividad prestada se realice en forma integral fuera del país.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lastRenderedPageBreak/>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xml:space="preserve">Precisamente frente a la exportación de servicios prevista en los preceptos a los cuales se ha hecho referencia, la Sala expresó que </w:t>
      </w:r>
      <w:r w:rsidRPr="0093368B">
        <w:rPr>
          <w:rFonts w:ascii="Segoe UI" w:eastAsia="Times New Roman" w:hAnsi="Segoe UI" w:cs="Segoe UI"/>
          <w:b/>
          <w:i/>
          <w:szCs w:val="24"/>
          <w:lang w:eastAsia="es-CO"/>
        </w:rPr>
        <w:t>corresponde en cada caso particular determinar si quien solicita la exención cumple los requisitos para hacerse merecedor a ella.”</w:t>
      </w:r>
      <w:r w:rsidRPr="0093368B">
        <w:rPr>
          <w:rFonts w:ascii="Segoe UI" w:eastAsia="Times New Roman" w:hAnsi="Segoe UI" w:cs="Segoe UI"/>
          <w:i/>
          <w:szCs w:val="24"/>
          <w:lang w:eastAsia="es-CO"/>
        </w:rPr>
        <w:t xml:space="preserve"> </w:t>
      </w:r>
      <w:r w:rsidRPr="0093368B">
        <w:rPr>
          <w:rFonts w:ascii="Segoe UI" w:eastAsia="Times New Roman" w:hAnsi="Segoe UI" w:cs="Segoe UI"/>
          <w:szCs w:val="24"/>
          <w:lang w:eastAsia="es-CO"/>
        </w:rPr>
        <w:t>(</w:t>
      </w:r>
      <w:proofErr w:type="gramStart"/>
      <w:r w:rsidRPr="0093368B">
        <w:rPr>
          <w:rFonts w:ascii="Segoe UI" w:eastAsia="Times New Roman" w:hAnsi="Segoe UI" w:cs="Segoe UI"/>
          <w:szCs w:val="24"/>
          <w:lang w:eastAsia="es-CO"/>
        </w:rPr>
        <w:t>negrilla</w:t>
      </w:r>
      <w:proofErr w:type="gramEnd"/>
      <w:r w:rsidRPr="0093368B">
        <w:rPr>
          <w:rFonts w:ascii="Segoe UI" w:eastAsia="Times New Roman" w:hAnsi="Segoe UI" w:cs="Segoe UI"/>
          <w:szCs w:val="24"/>
          <w:lang w:eastAsia="es-CO"/>
        </w:rPr>
        <w:t xml:space="preserve">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De manera que, siempre que en la prestación del servicio de transporte local a favor de la sociedad B se cumplan las condiciones previstas en la ley, esto es, que la mencionada sociedad carezca de negocios o actividades en Colombia, y se atiendan los requisitos fijados en la norma reglamentaria, se estará en presencia de la exportación de un servicio, exento por tanto del impuesto sobre las ventas.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2. “[C]</w:t>
      </w:r>
      <w:proofErr w:type="spellStart"/>
      <w:r w:rsidRPr="0093368B">
        <w:rPr>
          <w:rFonts w:ascii="Segoe UI" w:eastAsia="Times New Roman" w:hAnsi="Segoe UI" w:cs="Segoe UI"/>
          <w:i/>
          <w:szCs w:val="24"/>
          <w:lang w:eastAsia="es-CO"/>
        </w:rPr>
        <w:t>onfirmar</w:t>
      </w:r>
      <w:proofErr w:type="spellEnd"/>
      <w:r w:rsidRPr="0093368B">
        <w:rPr>
          <w:rFonts w:ascii="Segoe UI" w:eastAsia="Times New Roman" w:hAnsi="Segoe UI" w:cs="Segoe UI"/>
          <w:i/>
          <w:szCs w:val="24"/>
          <w:lang w:eastAsia="es-CO"/>
        </w:rPr>
        <w:t xml:space="preserve"> si de acuerdo con (…) el </w:t>
      </w:r>
      <w:hyperlink r:id="rId7" w:tooltip="Estatuto Tributario CETA" w:history="1">
        <w:r w:rsidRPr="0093368B">
          <w:rPr>
            <w:rFonts w:ascii="Segoe UI" w:eastAsia="Times New Roman" w:hAnsi="Segoe UI" w:cs="Segoe UI"/>
            <w:i/>
            <w:color w:val="0000FF"/>
            <w:szCs w:val="24"/>
            <w:u w:val="single"/>
            <w:lang w:eastAsia="es-CO"/>
          </w:rPr>
          <w:t>artículo 24</w:t>
        </w:r>
      </w:hyperlink>
      <w:r w:rsidRPr="0093368B">
        <w:rPr>
          <w:rFonts w:ascii="Segoe UI" w:eastAsia="Times New Roman" w:hAnsi="Segoe UI" w:cs="Segoe UI"/>
          <w:i/>
          <w:szCs w:val="24"/>
          <w:lang w:eastAsia="es-CO"/>
        </w:rPr>
        <w:t xml:space="preserve"> del Estatuto Tributario, en la venta de un bien que una Sociedad Vendedora Extranjera (A) hace a una Sociedad Compradora Colombiana (B) habiéndose trasladado la propiedad cuando el bien se encontraba aun (sic) el exterior se genera una renta de fuente extranjera para la Sociedad Vendedora Extranjera (A) y en consecuencia no está obligada a tributaria por esa venta en Colombia”.</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xml:space="preserve">De acuerdo con el inciso 1° del </w:t>
      </w:r>
      <w:hyperlink r:id="rId8" w:tooltip="Estatuto Tributario CETA" w:history="1">
        <w:r w:rsidRPr="0093368B">
          <w:rPr>
            <w:rFonts w:ascii="Segoe UI" w:eastAsia="Times New Roman" w:hAnsi="Segoe UI" w:cs="Segoe UI"/>
            <w:color w:val="0000FF"/>
            <w:szCs w:val="24"/>
            <w:u w:val="single"/>
            <w:lang w:eastAsia="es-CO"/>
          </w:rPr>
          <w:t>artículo 24</w:t>
        </w:r>
      </w:hyperlink>
      <w:r w:rsidRPr="0093368B">
        <w:rPr>
          <w:rFonts w:ascii="Segoe UI" w:eastAsia="Times New Roman" w:hAnsi="Segoe UI" w:cs="Segoe UI"/>
          <w:szCs w:val="24"/>
          <w:lang w:eastAsia="es-CO"/>
        </w:rPr>
        <w:t xml:space="preserve"> del Estatuto Tributario </w:t>
      </w:r>
      <w:r w:rsidRPr="0093368B">
        <w:rPr>
          <w:rFonts w:ascii="Segoe UI" w:eastAsia="Times New Roman" w:hAnsi="Segoe UI" w:cs="Segoe UI"/>
          <w:i/>
          <w:szCs w:val="24"/>
          <w:lang w:eastAsia="es-CO"/>
        </w:rPr>
        <w:t xml:space="preserve">“[s]e consideran ingresos de fuente nacional los provenientes de la explotación de bienes materiales e inmateriales dentro del país y la prestación de servicios dentro de su territorio, de manera permanente o transitoria, con o sin establecimiento propio. También constituyen ingresos de fuente nacional los obtenidos en </w:t>
      </w:r>
      <w:r w:rsidRPr="0093368B">
        <w:rPr>
          <w:rFonts w:ascii="Segoe UI" w:eastAsia="Times New Roman" w:hAnsi="Segoe UI" w:cs="Segoe UI"/>
          <w:b/>
          <w:i/>
          <w:szCs w:val="24"/>
          <w:lang w:eastAsia="es-CO"/>
        </w:rPr>
        <w:t>la enajenación de bienes materiales e inmateriales, a cualquier título, que se encuentren dentro del país al momento de su enajenación”</w:t>
      </w:r>
      <w:r w:rsidRPr="0093368B">
        <w:rPr>
          <w:rFonts w:ascii="Segoe UI" w:eastAsia="Times New Roman" w:hAnsi="Segoe UI" w:cs="Segoe UI"/>
          <w:szCs w:val="24"/>
          <w:lang w:eastAsia="es-CO"/>
        </w:rPr>
        <w:t xml:space="preserve"> (negrilla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Luego, en el evento consultado, la renta obtenida por la sociedad A es de fuente extranjera y por tanto, no está sometida a imposición en Colombia, toda vez que el bien objeto de la compraventa no se encontraba en el país al momento de su enajenación.</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3. “[C]</w:t>
      </w:r>
      <w:proofErr w:type="spellStart"/>
      <w:r w:rsidRPr="0093368B">
        <w:rPr>
          <w:rFonts w:ascii="Segoe UI" w:eastAsia="Times New Roman" w:hAnsi="Segoe UI" w:cs="Segoe UI"/>
          <w:i/>
          <w:szCs w:val="24"/>
          <w:lang w:eastAsia="es-CO"/>
        </w:rPr>
        <w:t>onfirmar</w:t>
      </w:r>
      <w:proofErr w:type="spellEnd"/>
      <w:r w:rsidRPr="0093368B">
        <w:rPr>
          <w:rFonts w:ascii="Segoe UI" w:eastAsia="Times New Roman" w:hAnsi="Segoe UI" w:cs="Segoe UI"/>
          <w:i/>
          <w:szCs w:val="24"/>
          <w:lang w:eastAsia="es-CO"/>
        </w:rPr>
        <w:t xml:space="preserve"> que, como se manifestó en el concepto 71190 de 2015, tratándose de una importación, cualquiera que sea el termino de negociación INCOTERM que se utilice, el lugar de entrega de la mercancía no desvirtúa el hecho de que la mercancía al momento de su enajenación se encontraba fuera del país”.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“De acuerdo con lo anterior (…) confirmar que si la Sociedad Vendedora Extranjera (A) negocia con la Sociedad Compradora Colombiana (B) un término INCOTERM que implique la entrega del bien en Colombia, habiéndose trasladado la propiedad cuando el bien se encontraba fuera de Colombia, la renta percibida por la Sociedad Vendedora Extranjera (A) es una renta de fuente extranjera”.</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Con ocasión del Concepto No. 071190 del 30 de septiembre de 2005 la Dirección de Impuestos a Aduanas Nacionales manifestó:</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lastRenderedPageBreak/>
        <w:t>“(…) es claro que la venta de bienes en el exterior no implica la obtención de un ingreso de fuente nacional y, por lo tanto, el pago que efectúa un importador a su proveedor en el extranjero (ya sea este una sociedad extranjera o una persona natural no residente en Colombia) no está gravado con el impuesto sobre la renta (…) y, por lo mismo, no se halla sujeto a retención en la fuente.</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Ahora bien, (…) es necesario señalar que la importación es una operación de comercio exterior definida como la introducción al territorio aduanero nacional de mercancías de procedencia extranjera. En el comercio internacional se utilizan varias formas de negociar la venta de una mercancía, las cuales se encuentran agrupadas por la Cámara de Comercio Internacional en trece modalidades llamadas INCOTERMS, que a la vez se han dividido en cuatro grupos: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Grupo E (EX WORK). El vendedor coloca su producto a disposición del comprador en sus propias instalaciones.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Grupo F (FCA, FAS y FOB). El vendedor coloca la mercancía a disposición de un transportador nominado por el comprador.</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Grupo C (CFR, CIF, CPT Y CIP). El vendedor contrata y paga el costo del transporte hasta un destino designado, sin asumir los riesgos inherentes al transporte.</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Grupo D (DAF, DES, DEQ, DDU Y DDP). El vendedor asume todos los costos y riesgos hasta el destino designado.</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b/>
          <w:i/>
          <w:szCs w:val="24"/>
          <w:lang w:eastAsia="es-CO"/>
        </w:rPr>
        <w:t xml:space="preserve">Los anteriores términos tienen por objeto delimitar de manera clara y precisa las obligaciones y la responsabilidad de las partes contratantes frente a la mercancía, </w:t>
      </w:r>
      <w:r w:rsidRPr="0093368B">
        <w:rPr>
          <w:rFonts w:ascii="Segoe UI" w:eastAsia="Times New Roman" w:hAnsi="Segoe UI" w:cs="Segoe UI"/>
          <w:i/>
          <w:szCs w:val="24"/>
          <w:lang w:eastAsia="es-CO"/>
        </w:rPr>
        <w:t>lo que dará lugar a que en algunos eventos su entrega ocurra en el exterior, correspondiendo muy probablemente al comprador en Colombia realizar los trámites de importación, esto es, introducirla al país; y en otros a que el proveedor en el extranjero se obligue a entregar los bienes en el lugar de destino del comprador, evento en el cual posiblemente deba realizar los trámites de nacionalización, situaciones que en todo caso quedan sujetas a la libre voluntad de las partes.</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 xml:space="preserve">Es claro, entonces, que si se trata de una importación, </w:t>
      </w:r>
      <w:r w:rsidRPr="0093368B">
        <w:rPr>
          <w:rFonts w:ascii="Segoe UI" w:eastAsia="Times New Roman" w:hAnsi="Segoe UI" w:cs="Segoe UI"/>
          <w:b/>
          <w:i/>
          <w:szCs w:val="24"/>
          <w:lang w:eastAsia="es-CO"/>
        </w:rPr>
        <w:t xml:space="preserve">cualquiera que sea el término de negociación que se utilice, el lugar de entrega de la mercancía no desvirtúa el hecho de que la mercancía al momento de su enajenación se encontraba fuera del país. </w:t>
      </w:r>
      <w:r w:rsidRPr="0093368B">
        <w:rPr>
          <w:rFonts w:ascii="Segoe UI" w:eastAsia="Times New Roman" w:hAnsi="Segoe UI" w:cs="Segoe UI"/>
          <w:i/>
          <w:szCs w:val="24"/>
          <w:lang w:eastAsia="es-CO"/>
        </w:rPr>
        <w:t xml:space="preserve">En otras palabras, para definir si se trata de una venta en el exterior lo que deba establecerse es el lugar en que se encontraba la mercancía al momento de su enajenación y no el lugar de su entrega.” </w:t>
      </w:r>
      <w:r w:rsidRPr="0093368B">
        <w:rPr>
          <w:rFonts w:ascii="Segoe UI" w:eastAsia="Times New Roman" w:hAnsi="Segoe UI" w:cs="Segoe UI"/>
          <w:szCs w:val="24"/>
          <w:lang w:eastAsia="es-CO"/>
        </w:rPr>
        <w:t>(</w:t>
      </w:r>
      <w:proofErr w:type="gramStart"/>
      <w:r w:rsidRPr="0093368B">
        <w:rPr>
          <w:rFonts w:ascii="Segoe UI" w:eastAsia="Times New Roman" w:hAnsi="Segoe UI" w:cs="Segoe UI"/>
          <w:szCs w:val="24"/>
          <w:lang w:eastAsia="es-CO"/>
        </w:rPr>
        <w:t>negrilla</w:t>
      </w:r>
      <w:proofErr w:type="gramEnd"/>
      <w:r w:rsidRPr="0093368B">
        <w:rPr>
          <w:rFonts w:ascii="Segoe UI" w:eastAsia="Times New Roman" w:hAnsi="Segoe UI" w:cs="Segoe UI"/>
          <w:szCs w:val="24"/>
          <w:lang w:eastAsia="es-CO"/>
        </w:rPr>
        <w:t xml:space="preserve">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xml:space="preserve">Asimismo, mediante Oficio No. 023929 del 2 de septiembre de 2016 la Subdirección de Gestión de Normativa y Doctrina precisó </w:t>
      </w:r>
      <w:r w:rsidRPr="0093368B">
        <w:rPr>
          <w:rFonts w:ascii="Segoe UI" w:eastAsia="Times New Roman" w:hAnsi="Segoe UI" w:cs="Segoe UI"/>
          <w:i/>
          <w:szCs w:val="24"/>
          <w:lang w:eastAsia="es-CO"/>
        </w:rPr>
        <w:t xml:space="preserve">“en cuanto al uso de los INCOTERMS, que estos </w:t>
      </w:r>
      <w:r w:rsidRPr="0093368B">
        <w:rPr>
          <w:rFonts w:ascii="Segoe UI" w:eastAsia="Times New Roman" w:hAnsi="Segoe UI" w:cs="Segoe UI"/>
          <w:b/>
          <w:i/>
          <w:szCs w:val="24"/>
          <w:lang w:eastAsia="es-CO"/>
        </w:rPr>
        <w:t>determinan la transferencia de riesgos sobre la mercadería y el lugar de entrega de la misma, entre otros aspectos, más no fijan reglas para la transferencia de propiedad</w:t>
      </w:r>
      <w:r w:rsidRPr="0093368B">
        <w:rPr>
          <w:rFonts w:ascii="Segoe UI" w:eastAsia="Times New Roman" w:hAnsi="Segoe UI" w:cs="Segoe UI"/>
          <w:i/>
          <w:szCs w:val="24"/>
          <w:lang w:eastAsia="es-CO"/>
        </w:rPr>
        <w:t xml:space="preserve"> de los bienes en una operación de comercio exterior” </w:t>
      </w:r>
      <w:r w:rsidRPr="0093368B">
        <w:rPr>
          <w:rFonts w:ascii="Segoe UI" w:eastAsia="Times New Roman" w:hAnsi="Segoe UI" w:cs="Segoe UI"/>
          <w:szCs w:val="24"/>
          <w:lang w:eastAsia="es-CO"/>
        </w:rPr>
        <w:t>(negrilla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lastRenderedPageBreak/>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Por tanto, siendo la oportunidad para reiterar lo previamente señalado, es de colegir que, en el evento consultado, la renta percibida por la sociedad A es de fuente extranjera.</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ind w:left="180"/>
        <w:rPr>
          <w:rFonts w:eastAsia="Times New Roman" w:cs="Times New Roman"/>
          <w:szCs w:val="24"/>
          <w:lang w:eastAsia="es-CO"/>
        </w:rPr>
      </w:pPr>
      <w:r w:rsidRPr="0093368B">
        <w:rPr>
          <w:rFonts w:ascii="Segoe UI" w:eastAsia="Times New Roman" w:hAnsi="Segoe UI" w:cs="Segoe UI"/>
          <w:i/>
          <w:szCs w:val="24"/>
          <w:lang w:eastAsia="es-CO"/>
        </w:rPr>
        <w:t>4. “[C]</w:t>
      </w:r>
      <w:proofErr w:type="spellStart"/>
      <w:r w:rsidRPr="0093368B">
        <w:rPr>
          <w:rFonts w:ascii="Segoe UI" w:eastAsia="Times New Roman" w:hAnsi="Segoe UI" w:cs="Segoe UI"/>
          <w:i/>
          <w:szCs w:val="24"/>
          <w:lang w:eastAsia="es-CO"/>
        </w:rPr>
        <w:t>onfirmar</w:t>
      </w:r>
      <w:proofErr w:type="spellEnd"/>
      <w:r w:rsidRPr="0093368B">
        <w:rPr>
          <w:rFonts w:ascii="Segoe UI" w:eastAsia="Times New Roman" w:hAnsi="Segoe UI" w:cs="Segoe UI"/>
          <w:i/>
          <w:szCs w:val="24"/>
          <w:lang w:eastAsia="es-CO"/>
        </w:rPr>
        <w:t xml:space="preserve"> (…) si la Sociedad Vendedora Extranjera (A) contrata a la Sociedad Colombiana Prestadora de Servicios (C) para poder cumplir con la entrega del bien a la Sociedad Compradora Colombiana (B), bien cuya propiedad ha pasado de la Sociedad Vendedora Extranjera (A) a la Sociedad Compradora Colombiana (B) en el exterior, </w:t>
      </w:r>
      <w:r w:rsidRPr="0093368B">
        <w:rPr>
          <w:rFonts w:ascii="Segoe UI" w:eastAsia="Times New Roman" w:hAnsi="Segoe UI" w:cs="Segoe UI"/>
          <w:b/>
          <w:i/>
          <w:szCs w:val="24"/>
          <w:lang w:eastAsia="es-CO"/>
        </w:rPr>
        <w:t xml:space="preserve">el beneficio, provecho o utilidad del servicio prestado por la Sociedad Colombiana Prestadora de Servicios (C) se configura en el exterior y para la Sociedad Vendedora Extranjera (A)” </w:t>
      </w:r>
      <w:r w:rsidRPr="0093368B">
        <w:rPr>
          <w:rFonts w:ascii="Segoe UI" w:eastAsia="Times New Roman" w:hAnsi="Segoe UI" w:cs="Segoe UI"/>
          <w:szCs w:val="24"/>
          <w:lang w:eastAsia="es-CO"/>
        </w:rPr>
        <w:t>(negrilla fuera de texto).</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En línea con lo indicado a lo largo de este concepto como quiera que para la sociedad vendedora extranjera se constituye una renta de fuente extranjera, el servicio prestado y en caso que se pruebe de esta manera para efectos fiscales, se entenderá que el provecho de dicho servicio se reporta en el exterior.</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bookmarkStart w:id="0" w:name="_GoBack"/>
      <w:bookmarkEnd w:id="0"/>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Atentamente,</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 </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b/>
          <w:szCs w:val="24"/>
          <w:lang w:eastAsia="es-CO"/>
        </w:rPr>
        <w:t>DANIEL FELIPE ORTEGÓN SÁNCHEZ</w:t>
      </w:r>
    </w:p>
    <w:p w:rsidR="0093368B" w:rsidRPr="0093368B" w:rsidRDefault="0093368B" w:rsidP="0093368B">
      <w:pPr>
        <w:spacing w:line="240" w:lineRule="auto"/>
        <w:rPr>
          <w:rFonts w:eastAsia="Times New Roman" w:cs="Times New Roman"/>
          <w:szCs w:val="24"/>
          <w:lang w:eastAsia="es-CO"/>
        </w:rPr>
      </w:pPr>
      <w:r w:rsidRPr="0093368B">
        <w:rPr>
          <w:rFonts w:ascii="Segoe UI" w:eastAsia="Times New Roman" w:hAnsi="Segoe UI" w:cs="Segoe UI"/>
          <w:szCs w:val="24"/>
          <w:lang w:eastAsia="es-CO"/>
        </w:rPr>
        <w:t>Director de Gestión Jurídica (E)</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B"/>
    <w:rsid w:val="0029351E"/>
    <w:rsid w:val="0093368B"/>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F0332-4425-4414-BDD5-45ECE5A4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5" Type="http://schemas.openxmlformats.org/officeDocument/2006/relationships/hyperlink" Target="https://www.ceta.org.co/html/vista_de_un_articulo.asp?Norma=601" TargetMode="External"/><Relationship Id="rId10" Type="http://schemas.openxmlformats.org/officeDocument/2006/relationships/theme" Target="theme/theme1.xml"/><Relationship Id="rId4" Type="http://schemas.openxmlformats.org/officeDocument/2006/relationships/hyperlink" Target="mailto:carlos.forero@trafigura.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2017-06-07T02:04:00Z</dcterms:created>
  <dcterms:modified xsi:type="dcterms:W3CDTF">2017-06-07T02:05:00Z</dcterms:modified>
</cp:coreProperties>
</file>