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A9" w:rsidRPr="006A52A9" w:rsidRDefault="006A52A9" w:rsidP="006A52A9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OFICIO Nº 009810</w:t>
      </w:r>
    </w:p>
    <w:p w:rsidR="006A52A9" w:rsidRPr="006A52A9" w:rsidRDefault="006A52A9" w:rsidP="006A52A9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27-04-2017</w:t>
      </w:r>
    </w:p>
    <w:p w:rsidR="006A52A9" w:rsidRPr="006A52A9" w:rsidRDefault="006A52A9" w:rsidP="006A52A9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DIAN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Bogotá D.C.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100208221- 000852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Señora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SLENDY CATALINA ACOSTA RIVERA</w:t>
      </w:r>
    </w:p>
    <w:p w:rsidR="006A52A9" w:rsidRPr="006A52A9" w:rsidRDefault="00E8103D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hyperlink r:id="rId4" w:history="1">
        <w:proofErr w:type="spellStart"/>
        <w:r w:rsidR="006A52A9" w:rsidRPr="006A52A9">
          <w:rPr>
            <w:rFonts w:eastAsia="Times New Roman" w:cs="Times New Roman"/>
            <w:szCs w:val="24"/>
            <w:u w:val="single"/>
            <w:lang w:eastAsia="es-CO"/>
          </w:rPr>
          <w:t>lysacos@gmail.com</w:t>
        </w:r>
        <w:proofErr w:type="spellEnd"/>
      </w:hyperlink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Calle 10 # 32 – 55 Torre 3 Apto. 504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Zipaquirá – Cundinamarca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SERGIO DUQUE LÓPEZ</w:t>
      </w:r>
    </w:p>
    <w:p w:rsidR="006A52A9" w:rsidRPr="006A52A9" w:rsidRDefault="00E8103D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hyperlink r:id="rId5" w:history="1">
        <w:proofErr w:type="spellStart"/>
        <w:r w:rsidR="006A52A9" w:rsidRPr="006A52A9">
          <w:rPr>
            <w:rFonts w:eastAsia="Times New Roman" w:cs="Times New Roman"/>
            <w:szCs w:val="24"/>
            <w:u w:val="single"/>
            <w:lang w:eastAsia="es-CO"/>
          </w:rPr>
          <w:t>sergio@villegasmelo.com</w:t>
        </w:r>
        <w:proofErr w:type="spellEnd"/>
      </w:hyperlink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Carrera 43A # 16A Sur – 38 Oficina 1205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Medellín - Antioquia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 xml:space="preserve">Ref.: </w:t>
      </w:r>
      <w:r w:rsidRPr="006A52A9">
        <w:rPr>
          <w:rFonts w:eastAsia="Times New Roman" w:cs="Times New Roman"/>
          <w:szCs w:val="24"/>
          <w:lang w:eastAsia="es-CO"/>
        </w:rPr>
        <w:t>Radicados No. 100015603 del 30 de marzo de 2017 y No. 100017393 del 7 de abril de 2017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 xml:space="preserve">Tema </w:t>
      </w:r>
      <w:r w:rsidRPr="006A52A9">
        <w:rPr>
          <w:rFonts w:eastAsia="Times New Roman" w:cs="Times New Roman"/>
          <w:szCs w:val="24"/>
          <w:lang w:eastAsia="es-CO"/>
        </w:rPr>
        <w:t>Impuesto sobre la Renta y Complementarios. Impuesto a las ventas</w:t>
      </w:r>
    </w:p>
    <w:p w:rsidR="006A52A9" w:rsidRDefault="006A52A9" w:rsidP="006A52A9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 xml:space="preserve">Descriptores </w:t>
      </w:r>
      <w:r w:rsidRPr="00E8103D">
        <w:rPr>
          <w:rFonts w:eastAsia="Times New Roman" w:cs="Times New Roman"/>
          <w:szCs w:val="24"/>
          <w:highlight w:val="green"/>
          <w:lang w:eastAsia="es-CO"/>
        </w:rPr>
        <w:t>CONTRATOS DE COLABORACIÓN EMPRESARIAL</w:t>
      </w:r>
      <w:r w:rsidRPr="006A52A9">
        <w:rPr>
          <w:rFonts w:eastAsia="Times New Roman" w:cs="Times New Roman"/>
          <w:szCs w:val="24"/>
          <w:lang w:eastAsia="es-CO"/>
        </w:rPr>
        <w:t xml:space="preserve">. Responsables del Impuesto Sobre las Ventas </w:t>
      </w:r>
      <w:r w:rsidRPr="00E8103D">
        <w:rPr>
          <w:rFonts w:eastAsia="Times New Roman" w:cs="Times New Roman"/>
          <w:szCs w:val="24"/>
          <w:highlight w:val="green"/>
          <w:lang w:eastAsia="es-CO"/>
        </w:rPr>
        <w:t>– Cuentas en Participación</w:t>
      </w:r>
    </w:p>
    <w:p w:rsidR="006A52A9" w:rsidRDefault="006A52A9" w:rsidP="006A52A9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 xml:space="preserve">Fuentes Formales </w:t>
      </w:r>
      <w:r w:rsidRPr="006A52A9">
        <w:rPr>
          <w:rFonts w:eastAsia="Times New Roman" w:cs="Times New Roman"/>
          <w:szCs w:val="24"/>
          <w:lang w:eastAsia="es-CO"/>
        </w:rPr>
        <w:t xml:space="preserve">Artículos </w:t>
      </w:r>
      <w:hyperlink r:id="rId6" w:tooltip="Estatuto Tributario CETA" w:history="1">
        <w:r w:rsidRPr="006A52A9">
          <w:rPr>
            <w:rFonts w:eastAsia="Times New Roman" w:cs="Times New Roman"/>
            <w:szCs w:val="24"/>
            <w:u w:val="single"/>
            <w:lang w:eastAsia="es-CO"/>
          </w:rPr>
          <w:t>18</w:t>
        </w:r>
      </w:hyperlink>
      <w:r w:rsidRPr="006A52A9">
        <w:rPr>
          <w:rFonts w:eastAsia="Times New Roman" w:cs="Times New Roman"/>
          <w:szCs w:val="24"/>
          <w:lang w:eastAsia="es-CO"/>
        </w:rPr>
        <w:t xml:space="preserve"> y </w:t>
      </w:r>
      <w:hyperlink r:id="rId7" w:tooltip="Estatuto Tributario CETA" w:history="1">
        <w:r w:rsidRPr="006A52A9">
          <w:rPr>
            <w:rFonts w:eastAsia="Times New Roman" w:cs="Times New Roman"/>
            <w:szCs w:val="24"/>
            <w:u w:val="single"/>
            <w:lang w:eastAsia="es-CO"/>
          </w:rPr>
          <w:t>592</w:t>
        </w:r>
      </w:hyperlink>
      <w:r w:rsidRPr="006A52A9">
        <w:rPr>
          <w:rFonts w:eastAsia="Times New Roman" w:cs="Times New Roman"/>
          <w:szCs w:val="24"/>
          <w:lang w:eastAsia="es-CO"/>
        </w:rPr>
        <w:t xml:space="preserve"> del Estatuto Tributario, Oficio No. 041483 del 6 de julio de 2004.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 xml:space="preserve">Cordial saludo, Sres. </w:t>
      </w:r>
      <w:proofErr w:type="spellStart"/>
      <w:r w:rsidRPr="006A52A9">
        <w:rPr>
          <w:rFonts w:eastAsia="Times New Roman" w:cs="Times New Roman"/>
          <w:szCs w:val="24"/>
          <w:lang w:eastAsia="es-CO"/>
        </w:rPr>
        <w:t>Slendy</w:t>
      </w:r>
      <w:proofErr w:type="spellEnd"/>
      <w:r w:rsidRPr="006A52A9">
        <w:rPr>
          <w:rFonts w:eastAsia="Times New Roman" w:cs="Times New Roman"/>
          <w:szCs w:val="24"/>
          <w:lang w:eastAsia="es-CO"/>
        </w:rPr>
        <w:t xml:space="preserve"> Catalina y Sergio: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De conformidad con el artículo 20 del Decreto 4048 de 2008 es función de esta Subdirección absolver las consultas escritas que se formulen sobre la interpretación y aplicación de las normas tributarias de carácter nacional, aduaneras y cambiarias en lo de competencia de la Entidad.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Mediante los radicados de la referencia plantean varias preguntas relativas al contrato de cuentas en participación, las cuales se resolverán cada una a su turno, no sin antes reiterar que este Despacho únicamente es competente para pronunciarse en asuntos relativos a impuestos del orden nacional.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E8103D">
        <w:rPr>
          <w:rFonts w:eastAsia="Times New Roman" w:cs="Times New Roman"/>
          <w:szCs w:val="24"/>
          <w:highlight w:val="green"/>
          <w:lang w:eastAsia="es-CO"/>
        </w:rPr>
        <w:t xml:space="preserve">1. ¿El partícipe activo y el (los) partícipe(s) oculto(s) deben declarar, para efectos del impuesto sobre la renta y complementarios, </w:t>
      </w:r>
      <w:r w:rsidRPr="00E8103D">
        <w:rPr>
          <w:rFonts w:eastAsia="Times New Roman" w:cs="Times New Roman"/>
          <w:i/>
          <w:szCs w:val="24"/>
          <w:highlight w:val="green"/>
          <w:lang w:eastAsia="es-CO"/>
        </w:rPr>
        <w:t>“su participación en activos, pasivos, ingresos, costos y deducciones”?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  <w:bookmarkStart w:id="0" w:name="_GoBack"/>
      <w:bookmarkEnd w:id="0"/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E8103D">
        <w:rPr>
          <w:rFonts w:eastAsia="Times New Roman" w:cs="Times New Roman"/>
          <w:szCs w:val="24"/>
          <w:highlight w:val="green"/>
          <w:lang w:eastAsia="es-CO"/>
        </w:rPr>
        <w:t xml:space="preserve">Al respecto, el </w:t>
      </w:r>
      <w:hyperlink r:id="rId8" w:tooltip="Estatuto Tributario CETA" w:history="1">
        <w:r w:rsidRPr="00E8103D">
          <w:rPr>
            <w:rFonts w:eastAsia="Times New Roman" w:cs="Times New Roman"/>
            <w:szCs w:val="24"/>
            <w:highlight w:val="green"/>
            <w:u w:val="single"/>
            <w:lang w:eastAsia="es-CO"/>
          </w:rPr>
          <w:t>artículo 18</w:t>
        </w:r>
      </w:hyperlink>
      <w:r w:rsidRPr="00E8103D">
        <w:rPr>
          <w:rFonts w:eastAsia="Times New Roman" w:cs="Times New Roman"/>
          <w:szCs w:val="24"/>
          <w:highlight w:val="green"/>
          <w:lang w:eastAsia="es-CO"/>
        </w:rPr>
        <w:t xml:space="preserve"> del Estatuto Tributario dispone de modo palmario en su inciso primero: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E8103D" w:rsidRDefault="006A52A9" w:rsidP="006A52A9">
      <w:pPr>
        <w:spacing w:line="240" w:lineRule="auto"/>
        <w:ind w:left="180"/>
        <w:rPr>
          <w:rFonts w:eastAsia="Times New Roman" w:cs="Times New Roman"/>
          <w:b/>
          <w:szCs w:val="24"/>
          <w:lang w:eastAsia="es-CO"/>
        </w:rPr>
      </w:pPr>
      <w:r w:rsidRPr="006A52A9">
        <w:rPr>
          <w:rFonts w:eastAsia="Times New Roman" w:cs="Times New Roman"/>
          <w:b/>
          <w:i/>
          <w:szCs w:val="24"/>
          <w:lang w:eastAsia="es-CO"/>
        </w:rPr>
        <w:t>“</w:t>
      </w:r>
      <w:hyperlink r:id="rId9" w:tooltip="Estatuto Tributario CETA" w:history="1">
        <w:r w:rsidRPr="006A52A9">
          <w:rPr>
            <w:rFonts w:eastAsia="Times New Roman" w:cs="Times New Roman"/>
            <w:b/>
            <w:i/>
            <w:szCs w:val="24"/>
            <w:u w:val="single"/>
            <w:lang w:eastAsia="es-CO"/>
          </w:rPr>
          <w:t>ARTÍCULO 18</w:t>
        </w:r>
      </w:hyperlink>
      <w:r w:rsidRPr="006A52A9">
        <w:rPr>
          <w:rFonts w:eastAsia="Times New Roman" w:cs="Times New Roman"/>
          <w:b/>
          <w:i/>
          <w:szCs w:val="24"/>
          <w:lang w:eastAsia="es-CO"/>
        </w:rPr>
        <w:t xml:space="preserve">. CONTRATOS DE COLABORACIÓN EMPRESARIAL. </w:t>
      </w:r>
      <w:r w:rsidRPr="006A52A9">
        <w:rPr>
          <w:rFonts w:eastAsia="Times New Roman" w:cs="Times New Roman"/>
          <w:i/>
          <w:szCs w:val="24"/>
          <w:lang w:eastAsia="es-CO"/>
        </w:rPr>
        <w:t xml:space="preserve">&lt;Artículo modificado por el artículo 20 de la Ley 1819 de 2016. El nuevo texto es el siguiente:&gt; Los contratos de colaboración empresarial tales como consorcios, uniones temporales, </w:t>
      </w:r>
      <w:proofErr w:type="spellStart"/>
      <w:r w:rsidRPr="006A52A9">
        <w:rPr>
          <w:rFonts w:eastAsia="Times New Roman" w:cs="Times New Roman"/>
          <w:i/>
          <w:szCs w:val="24"/>
          <w:lang w:eastAsia="es-CO"/>
        </w:rPr>
        <w:t>joint</w:t>
      </w:r>
      <w:proofErr w:type="spellEnd"/>
      <w:r w:rsidRPr="006A52A9">
        <w:rPr>
          <w:rFonts w:eastAsia="Times New Roman" w:cs="Times New Roman"/>
          <w:i/>
          <w:szCs w:val="24"/>
          <w:lang w:eastAsia="es-CO"/>
        </w:rPr>
        <w:t xml:space="preserve"> </w:t>
      </w:r>
      <w:proofErr w:type="spellStart"/>
      <w:r w:rsidRPr="006A52A9">
        <w:rPr>
          <w:rFonts w:eastAsia="Times New Roman" w:cs="Times New Roman"/>
          <w:i/>
          <w:szCs w:val="24"/>
          <w:lang w:eastAsia="es-CO"/>
        </w:rPr>
        <w:t>ventures</w:t>
      </w:r>
      <w:proofErr w:type="spellEnd"/>
      <w:r w:rsidRPr="006A52A9">
        <w:rPr>
          <w:rFonts w:eastAsia="Times New Roman" w:cs="Times New Roman"/>
          <w:i/>
          <w:szCs w:val="24"/>
          <w:lang w:eastAsia="es-CO"/>
        </w:rPr>
        <w:t xml:space="preserve"> </w:t>
      </w:r>
      <w:r w:rsidRPr="00E8103D">
        <w:rPr>
          <w:rFonts w:eastAsia="Times New Roman" w:cs="Times New Roman"/>
          <w:i/>
          <w:szCs w:val="24"/>
          <w:highlight w:val="green"/>
          <w:lang w:eastAsia="es-CO"/>
        </w:rPr>
        <w:t>y cuentas en participación</w:t>
      </w:r>
      <w:r w:rsidRPr="006A52A9">
        <w:rPr>
          <w:rFonts w:eastAsia="Times New Roman" w:cs="Times New Roman"/>
          <w:i/>
          <w:szCs w:val="24"/>
          <w:lang w:eastAsia="es-CO"/>
        </w:rPr>
        <w:t xml:space="preserve">, no son contribuyentes del impuesto sobre la renta y complementarios. </w:t>
      </w:r>
      <w:r w:rsidRPr="00E8103D">
        <w:rPr>
          <w:rFonts w:eastAsia="Times New Roman" w:cs="Times New Roman"/>
          <w:b/>
          <w:i/>
          <w:szCs w:val="24"/>
          <w:highlight w:val="green"/>
          <w:lang w:eastAsia="es-CO"/>
        </w:rPr>
        <w:t xml:space="preserve">Las partes en el contrato de colaboración empresarial, deberán </w:t>
      </w:r>
      <w:r w:rsidRPr="00E8103D">
        <w:rPr>
          <w:rFonts w:eastAsia="Times New Roman" w:cs="Times New Roman"/>
          <w:b/>
          <w:i/>
          <w:szCs w:val="24"/>
          <w:highlight w:val="green"/>
          <w:lang w:eastAsia="es-CO"/>
        </w:rPr>
        <w:lastRenderedPageBreak/>
        <w:t>declarar de manera independiente los activos, pasivos, ingresos, costos y deducciones que les correspondan, de acuerdo con su participación en los activos, pasivos, ingresos, costos y gastos incurridos en desarrollo del contrato de colaboración empresarial</w:t>
      </w:r>
      <w:r w:rsidRPr="006A52A9">
        <w:rPr>
          <w:rFonts w:eastAsia="Times New Roman" w:cs="Times New Roman"/>
          <w:b/>
          <w:i/>
          <w:szCs w:val="24"/>
          <w:lang w:eastAsia="es-CO"/>
        </w:rPr>
        <w:t xml:space="preserve">. </w:t>
      </w:r>
      <w:r w:rsidRPr="00E8103D">
        <w:rPr>
          <w:rFonts w:eastAsia="Times New Roman" w:cs="Times New Roman"/>
          <w:b/>
          <w:i/>
          <w:szCs w:val="24"/>
          <w:lang w:eastAsia="es-CO"/>
        </w:rPr>
        <w:t>Para efectos tributarios, las partes deberán llevar un registro sobre las actividades desarrolladas en virtud del contrato de colaboración empresarial que le permita verificar los ingresos, costos y gastos incurridos en desarrollo del mismo.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 xml:space="preserve">(…)” </w:t>
      </w:r>
      <w:r w:rsidRPr="006A52A9">
        <w:rPr>
          <w:rFonts w:eastAsia="Times New Roman" w:cs="Times New Roman"/>
          <w:szCs w:val="24"/>
          <w:lang w:eastAsia="es-CO"/>
        </w:rPr>
        <w:t>(negrilla fuera de texto).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E8103D">
        <w:rPr>
          <w:rFonts w:eastAsia="Times New Roman" w:cs="Times New Roman"/>
          <w:szCs w:val="24"/>
          <w:highlight w:val="green"/>
          <w:lang w:eastAsia="es-CO"/>
        </w:rPr>
        <w:t>De manera que el partícipe activo y el (los) partícipe(s) oculto(s) deben declarar de manera independiente, para efectos del impuesto sobre la renta y complementarios, su participación en activos, pasivos, ingresos, costos y deducciones.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2. ¿Quién es el responsable en materia del impuesto sobre las ventas en un contrato de cuentas en participación? ¿Quién tiene derecho a solicitar los impuestos descontables?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Sobre el particular, es menester comprender que el régimen de transparencia introducido por la Ley 1819 de 2016 en materia de contratos de colaboración empresarial – reseñado previamente – únicamente se realizó para efectos del impuesto sobre la renta y complementarios.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En este sentido, para efectos del impuesto sobre las ventas, continua vigente lo manifestado en el oficio No. 041483 del 6 de julio de 2004: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 xml:space="preserve">“Conforme con el artículo 507 del Código de Comercio: ‘La participación es un contrato por el cual dos o más personas que tienen la calidad de comerciantes toman interés en una o varias operaciones mercantiles determinadas, que </w:t>
      </w:r>
      <w:r w:rsidRPr="006A52A9">
        <w:rPr>
          <w:rFonts w:eastAsia="Times New Roman" w:cs="Times New Roman"/>
          <w:b/>
          <w:i/>
          <w:szCs w:val="24"/>
          <w:lang w:eastAsia="es-CO"/>
        </w:rPr>
        <w:t>deberá ejecutar uno de ellos en su solo nombre y bajo su crédito personal</w:t>
      </w:r>
      <w:r w:rsidRPr="006A52A9">
        <w:rPr>
          <w:rFonts w:eastAsia="Times New Roman" w:cs="Times New Roman"/>
          <w:i/>
          <w:szCs w:val="24"/>
          <w:lang w:eastAsia="es-CO"/>
        </w:rPr>
        <w:t>, con cargo de rendir cuenta y dividir con sus participantes las ganancias o pérdidas en la proporción convenida.’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El artículo 509 ibídem expresa: ‘</w:t>
      </w:r>
      <w:r w:rsidRPr="006A52A9">
        <w:rPr>
          <w:rFonts w:eastAsia="Times New Roman" w:cs="Times New Roman"/>
          <w:b/>
          <w:i/>
          <w:szCs w:val="24"/>
          <w:lang w:eastAsia="es-CO"/>
        </w:rPr>
        <w:t>La participación no constituirá una persona jurídica y por tanto carecerá de nombre, patrimonio social y domicilio.</w:t>
      </w:r>
      <w:r w:rsidRPr="006A52A9">
        <w:rPr>
          <w:rFonts w:eastAsia="Times New Roman" w:cs="Times New Roman"/>
          <w:i/>
          <w:szCs w:val="24"/>
          <w:lang w:eastAsia="es-CO"/>
        </w:rPr>
        <w:t xml:space="preserve"> Su formación, modificación, disolución y liquidación podrán ser establecidas con los libros, correspondencia, testigos o cualquiera otra prueba legal.’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Y el artículo 510 agrega: ‘</w:t>
      </w:r>
      <w:r w:rsidRPr="006A52A9">
        <w:rPr>
          <w:rFonts w:eastAsia="Times New Roman" w:cs="Times New Roman"/>
          <w:b/>
          <w:i/>
          <w:szCs w:val="24"/>
          <w:lang w:eastAsia="es-CO"/>
        </w:rPr>
        <w:t xml:space="preserve">El gestor será repuntado único dueño del negocio en las relaciones externas de la participación. </w:t>
      </w:r>
      <w:r w:rsidRPr="006A52A9">
        <w:rPr>
          <w:rFonts w:eastAsia="Times New Roman" w:cs="Times New Roman"/>
          <w:i/>
          <w:szCs w:val="24"/>
          <w:lang w:eastAsia="es-CO"/>
        </w:rPr>
        <w:t>Los terceros solamente tendrán acción contra el administrador, del mismo modo que los partícipes inactivos carecerán de ella contra los terceros.’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El tratadista de Derecho Comercial, José Ignacio Narváez, al referirse a las características de este contrato dice: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 xml:space="preserve">El gestor ha de ser siempre uno de los socios (art 507). Dicho gestor maneja los aportes, administra los bienes que adquiera en desarrollo del objeto social, celebra y ejecuta el negocio u operaciones para los cuales se ha formado, en su solo nombre y bajo su crédito personal y en las relaciones con terceros se reputa único dueño del negocio. </w:t>
      </w:r>
      <w:r w:rsidRPr="006A52A9">
        <w:rPr>
          <w:rFonts w:eastAsia="Times New Roman" w:cs="Times New Roman"/>
          <w:b/>
          <w:i/>
          <w:szCs w:val="24"/>
          <w:lang w:eastAsia="es-CO"/>
        </w:rPr>
        <w:t xml:space="preserve">Los derechos son adquiridos en su favor y las obligaciones las contrae a su exclusivo cargo. </w:t>
      </w:r>
      <w:r w:rsidRPr="006A52A9">
        <w:rPr>
          <w:rFonts w:eastAsia="Times New Roman" w:cs="Times New Roman"/>
          <w:i/>
          <w:szCs w:val="24"/>
          <w:lang w:eastAsia="es-CO"/>
        </w:rPr>
        <w:t xml:space="preserve">Su responsabilidad es ilimitada y los terceros adquieren derechos y asumen obligaciones solo respecto del gestor. Los socios inactivos aportan dinero u otros bienes apreciables en dinero y limitan su riesgo al valor de la representativa aportación. No administran ni actúan ante terceros, participan en las ganancias o pérdidas en la proporción convenida y en cualquier tiempo pueden ejercer el derecho de inspección sobre los papeles y documentos, así como exigirle al gestor que les rinda cuentas de su gestión. (Derecho Mercantil Colombiano, Tipos de Sociedad, Ed, </w:t>
      </w:r>
      <w:proofErr w:type="spellStart"/>
      <w:r w:rsidRPr="006A52A9">
        <w:rPr>
          <w:rFonts w:eastAsia="Times New Roman" w:cs="Times New Roman"/>
          <w:i/>
          <w:szCs w:val="24"/>
          <w:lang w:eastAsia="es-CO"/>
        </w:rPr>
        <w:t>Legis</w:t>
      </w:r>
      <w:proofErr w:type="spellEnd"/>
      <w:r w:rsidRPr="006A52A9">
        <w:rPr>
          <w:rFonts w:eastAsia="Times New Roman" w:cs="Times New Roman"/>
          <w:i/>
          <w:szCs w:val="24"/>
          <w:lang w:eastAsia="es-CO"/>
        </w:rPr>
        <w:t>, Bogotá, 2002)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lastRenderedPageBreak/>
        <w:t xml:space="preserve">De acuerdo con lo expuesto, las cuentas en participación constituye (sic) un contrato de colaboración de carácter privado, suscrito entre dos o más personas naturales o jurídicas, una de las cuales asume el papel de gestor y es quien realiza por su cuenta y riesgo el negocio convenido y por tanto </w:t>
      </w:r>
      <w:r w:rsidRPr="006A52A9">
        <w:rPr>
          <w:rFonts w:eastAsia="Times New Roman" w:cs="Times New Roman"/>
          <w:b/>
          <w:i/>
          <w:szCs w:val="24"/>
          <w:lang w:eastAsia="es-CO"/>
        </w:rPr>
        <w:t>la única persona visible ante terceros.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i/>
          <w:szCs w:val="24"/>
          <w:lang w:eastAsia="es-CO"/>
        </w:rPr>
        <w:t>Desde el punto de vista fiscal, la Administración tributaria es un tercero más y por tanto no ajeno a la regla comercial.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 xml:space="preserve">El </w:t>
      </w:r>
      <w:hyperlink r:id="rId10" w:tooltip="Estatuto Tributario CETA" w:history="1">
        <w:r w:rsidRPr="006A52A9">
          <w:rPr>
            <w:rFonts w:eastAsia="Times New Roman" w:cs="Times New Roman"/>
            <w:i/>
            <w:szCs w:val="24"/>
            <w:u w:val="single"/>
            <w:lang w:eastAsia="es-CO"/>
          </w:rPr>
          <w:t>artículo 2º</w:t>
        </w:r>
      </w:hyperlink>
      <w:r w:rsidRPr="006A52A9">
        <w:rPr>
          <w:rFonts w:eastAsia="Times New Roman" w:cs="Times New Roman"/>
          <w:i/>
          <w:szCs w:val="24"/>
          <w:lang w:eastAsia="es-CO"/>
        </w:rPr>
        <w:t xml:space="preserve"> del Estatuto Tributario, dice que </w:t>
      </w:r>
      <w:r w:rsidRPr="006A52A9">
        <w:rPr>
          <w:rFonts w:eastAsia="Times New Roman" w:cs="Times New Roman"/>
          <w:b/>
          <w:i/>
          <w:szCs w:val="24"/>
          <w:lang w:eastAsia="es-CO"/>
        </w:rPr>
        <w:t xml:space="preserve">son contribuyentes o responsables directos del pago del tributo los sujetos respecto de quienes se realiza el hecho generador de la obligación sustancial. </w:t>
      </w:r>
      <w:r w:rsidRPr="006A52A9">
        <w:rPr>
          <w:rFonts w:eastAsia="Times New Roman" w:cs="Times New Roman"/>
          <w:i/>
          <w:szCs w:val="24"/>
          <w:lang w:eastAsia="es-CO"/>
        </w:rPr>
        <w:t xml:space="preserve">Como se ha visto, en esta clase de contrato </w:t>
      </w:r>
      <w:r w:rsidRPr="006A52A9">
        <w:rPr>
          <w:rFonts w:eastAsia="Times New Roman" w:cs="Times New Roman"/>
          <w:b/>
          <w:i/>
          <w:szCs w:val="24"/>
          <w:lang w:eastAsia="es-CO"/>
        </w:rPr>
        <w:t xml:space="preserve">es el gestor quien realiza a su nombre, por su cuenta y riesgo el negocio convenido, </w:t>
      </w:r>
      <w:r w:rsidRPr="006A52A9">
        <w:rPr>
          <w:rFonts w:eastAsia="Times New Roman" w:cs="Times New Roman"/>
          <w:i/>
          <w:szCs w:val="24"/>
          <w:lang w:eastAsia="es-CO"/>
        </w:rPr>
        <w:t>por tanto es quien adquiere la calidad de sujeto pasivo de las obligaciones tributarias derivadas de tales hechos.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(…)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 xml:space="preserve">2. En lo que respecta al manejo del IVA, </w:t>
      </w:r>
      <w:r w:rsidRPr="006A52A9">
        <w:rPr>
          <w:rFonts w:eastAsia="Times New Roman" w:cs="Times New Roman"/>
          <w:b/>
          <w:i/>
          <w:szCs w:val="24"/>
          <w:lang w:eastAsia="es-CO"/>
        </w:rPr>
        <w:t>será el socio gestor quien liquide, facture, recaude, declare y pague el impuesto correspondiente</w:t>
      </w:r>
      <w:r w:rsidRPr="006A52A9">
        <w:rPr>
          <w:rFonts w:eastAsia="Times New Roman" w:cs="Times New Roman"/>
          <w:i/>
          <w:szCs w:val="24"/>
          <w:lang w:eastAsia="es-CO"/>
        </w:rPr>
        <w:t xml:space="preserve"> a la explotación de las cuentas en participación, por ser este la única persona visible ante los terceros. De igual forma </w:t>
      </w:r>
      <w:r w:rsidRPr="006A52A9">
        <w:rPr>
          <w:rFonts w:eastAsia="Times New Roman" w:cs="Times New Roman"/>
          <w:b/>
          <w:i/>
          <w:szCs w:val="24"/>
          <w:lang w:eastAsia="es-CO"/>
        </w:rPr>
        <w:t xml:space="preserve">tendrá derecho a solicitar los impuestos descontables y las retenciones practicadas por este impuesto.” </w:t>
      </w:r>
      <w:r w:rsidRPr="006A52A9">
        <w:rPr>
          <w:rFonts w:eastAsia="Times New Roman" w:cs="Times New Roman"/>
          <w:szCs w:val="24"/>
          <w:lang w:eastAsia="es-CO"/>
        </w:rPr>
        <w:t>(</w:t>
      </w:r>
      <w:proofErr w:type="gramStart"/>
      <w:r w:rsidRPr="006A52A9">
        <w:rPr>
          <w:rFonts w:eastAsia="Times New Roman" w:cs="Times New Roman"/>
          <w:szCs w:val="24"/>
          <w:lang w:eastAsia="es-CO"/>
        </w:rPr>
        <w:t>negrilla</w:t>
      </w:r>
      <w:proofErr w:type="gramEnd"/>
      <w:r w:rsidRPr="006A52A9">
        <w:rPr>
          <w:rFonts w:eastAsia="Times New Roman" w:cs="Times New Roman"/>
          <w:szCs w:val="24"/>
          <w:lang w:eastAsia="es-CO"/>
        </w:rPr>
        <w:t xml:space="preserve"> fuera de texto).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 xml:space="preserve">3. ¿Si el partícipe oculto (persona natural), en principio, no está obligados a presentar declaración del impuesto sobre la renta, el régimen de transparencia previsto en el </w:t>
      </w:r>
      <w:hyperlink r:id="rId11" w:tooltip="Estatuto Tributario CETA" w:history="1">
        <w:r w:rsidRPr="006A52A9">
          <w:rPr>
            <w:rFonts w:eastAsia="Times New Roman" w:cs="Times New Roman"/>
            <w:szCs w:val="24"/>
            <w:u w:val="single"/>
            <w:lang w:eastAsia="es-CO"/>
          </w:rPr>
          <w:t>artículo 18</w:t>
        </w:r>
      </w:hyperlink>
      <w:r w:rsidRPr="006A52A9">
        <w:rPr>
          <w:rFonts w:eastAsia="Times New Roman" w:cs="Times New Roman"/>
          <w:szCs w:val="24"/>
          <w:lang w:eastAsia="es-CO"/>
        </w:rPr>
        <w:t xml:space="preserve"> del Estatuto Tributario lo obligaría a ello?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 xml:space="preserve">El </w:t>
      </w:r>
      <w:hyperlink r:id="rId12" w:tooltip="Estatuto Tributario CETA" w:history="1">
        <w:r w:rsidRPr="006A52A9">
          <w:rPr>
            <w:rFonts w:eastAsia="Times New Roman" w:cs="Times New Roman"/>
            <w:szCs w:val="24"/>
            <w:u w:val="single"/>
            <w:lang w:eastAsia="es-CO"/>
          </w:rPr>
          <w:t>artículo 592</w:t>
        </w:r>
      </w:hyperlink>
      <w:r w:rsidRPr="006A52A9">
        <w:rPr>
          <w:rFonts w:eastAsia="Times New Roman" w:cs="Times New Roman"/>
          <w:szCs w:val="24"/>
          <w:lang w:eastAsia="es-CO"/>
        </w:rPr>
        <w:t xml:space="preserve"> del Estatuto Tributario establece quienes no están obligados a presentar declaración de renta y complementarios. En lo que se refiere a las personas naturales, la norma en comento señala en su numeral 1º: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i/>
          <w:szCs w:val="24"/>
          <w:lang w:eastAsia="es-CO"/>
        </w:rPr>
        <w:t xml:space="preserve">“Los contribuyentes personas naturales y sucesiones ilíquidas </w:t>
      </w:r>
      <w:r w:rsidRPr="006A52A9">
        <w:rPr>
          <w:rFonts w:eastAsia="Times New Roman" w:cs="Times New Roman"/>
          <w:b/>
          <w:i/>
          <w:szCs w:val="24"/>
          <w:lang w:eastAsia="es-CO"/>
        </w:rPr>
        <w:t>que no sean responsables del impuesto a las ventas, que en el respectivo año o período gravable hayan obtenido ingresos brutos inferiores a 1.400 UVT y que el patrimonio bruto en el último día del año o período gravable no exceda de 4.500 UVT.”</w:t>
      </w:r>
      <w:r w:rsidRPr="006A52A9">
        <w:rPr>
          <w:rFonts w:eastAsia="Times New Roman" w:cs="Times New Roman"/>
          <w:b/>
          <w:szCs w:val="24"/>
          <w:lang w:eastAsia="es-CO"/>
        </w:rPr>
        <w:t xml:space="preserve"> </w:t>
      </w:r>
      <w:r w:rsidRPr="006A52A9">
        <w:rPr>
          <w:rFonts w:eastAsia="Times New Roman" w:cs="Times New Roman"/>
          <w:szCs w:val="24"/>
          <w:lang w:eastAsia="es-CO"/>
        </w:rPr>
        <w:t>(</w:t>
      </w:r>
      <w:proofErr w:type="gramStart"/>
      <w:r w:rsidRPr="006A52A9">
        <w:rPr>
          <w:rFonts w:eastAsia="Times New Roman" w:cs="Times New Roman"/>
          <w:szCs w:val="24"/>
          <w:lang w:eastAsia="es-CO"/>
        </w:rPr>
        <w:t>negrilla</w:t>
      </w:r>
      <w:proofErr w:type="gramEnd"/>
      <w:r w:rsidRPr="006A52A9">
        <w:rPr>
          <w:rFonts w:eastAsia="Times New Roman" w:cs="Times New Roman"/>
          <w:szCs w:val="24"/>
          <w:lang w:eastAsia="es-CO"/>
        </w:rPr>
        <w:t xml:space="preserve"> fuera de texto).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Ahora bien, advertido el régimen de transparencia en materia de contratos de colaboración empresarial (</w:t>
      </w:r>
      <w:hyperlink r:id="rId13" w:tooltip="Estatuto Tributario CETA" w:history="1">
        <w:r w:rsidRPr="006A52A9">
          <w:rPr>
            <w:rFonts w:eastAsia="Times New Roman" w:cs="Times New Roman"/>
            <w:szCs w:val="24"/>
            <w:u w:val="single"/>
            <w:lang w:eastAsia="es-CO"/>
          </w:rPr>
          <w:t>artículo 18</w:t>
        </w:r>
      </w:hyperlink>
      <w:r w:rsidRPr="006A52A9">
        <w:rPr>
          <w:rFonts w:eastAsia="Times New Roman" w:cs="Times New Roman"/>
          <w:szCs w:val="24"/>
          <w:lang w:eastAsia="es-CO"/>
        </w:rPr>
        <w:t xml:space="preserve"> del Estatuto Tributario), se encuentra que: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tabs>
          <w:tab w:val="left" w:pos="360"/>
        </w:tabs>
        <w:spacing w:line="240" w:lineRule="auto"/>
        <w:ind w:left="360" w:hanging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Symbol" w:cs="Times New Roman"/>
          <w:szCs w:val="24"/>
          <w:lang w:eastAsia="es-CO"/>
        </w:rPr>
        <w:t xml:space="preserve">·   </w:t>
      </w:r>
      <w:r w:rsidRPr="006A52A9">
        <w:rPr>
          <w:rFonts w:eastAsia="Times New Roman" w:cs="Times New Roman"/>
          <w:szCs w:val="24"/>
          <w:lang w:eastAsia="es-CO"/>
        </w:rPr>
        <w:t>Si el partícipe oculto pertenece al régimen común del impuesto sobre las ventas, deberá presentar declaración del impuesto sobre la renta y complementarios, en la cual relacionará necesariamente los activos, pasivos, ingresos, costos y deducciones que les correspondan en el contrato de cuentas en participación.</w:t>
      </w:r>
    </w:p>
    <w:p w:rsidR="006A52A9" w:rsidRPr="006A52A9" w:rsidRDefault="006A52A9" w:rsidP="006A52A9">
      <w:pPr>
        <w:tabs>
          <w:tab w:val="left" w:pos="360"/>
        </w:tabs>
        <w:spacing w:line="240" w:lineRule="auto"/>
        <w:ind w:left="360" w:hanging="180"/>
        <w:rPr>
          <w:rFonts w:eastAsia="Times New Roman" w:cs="Times New Roman"/>
          <w:szCs w:val="24"/>
          <w:lang w:eastAsia="es-CO"/>
        </w:rPr>
      </w:pPr>
      <w:r w:rsidRPr="006A52A9">
        <w:rPr>
          <w:rFonts w:eastAsia="Symbol" w:cs="Times New Roman"/>
          <w:szCs w:val="24"/>
          <w:lang w:eastAsia="es-CO"/>
        </w:rPr>
        <w:t xml:space="preserve">·   </w:t>
      </w:r>
      <w:r w:rsidRPr="006A52A9">
        <w:rPr>
          <w:rFonts w:eastAsia="Times New Roman" w:cs="Times New Roman"/>
          <w:szCs w:val="24"/>
          <w:lang w:eastAsia="es-CO"/>
        </w:rPr>
        <w:t xml:space="preserve">Si el partícipe oculto pertenece al régimen simplificado del impuesto sobre las ventas y por el monto de sus ingresos brutos o de su patrimonio bruto – en principio – no está obligado a presentar declaración del impuesto sobre la renta; no deberá presentar la referida declaración, de acuerdo con lo previsto en el </w:t>
      </w:r>
      <w:hyperlink r:id="rId14" w:tooltip="Estatuto Tributario CETA" w:history="1">
        <w:r w:rsidRPr="006A52A9">
          <w:rPr>
            <w:rFonts w:eastAsia="Times New Roman" w:cs="Times New Roman"/>
            <w:szCs w:val="24"/>
            <w:u w:val="single"/>
            <w:lang w:eastAsia="es-CO"/>
          </w:rPr>
          <w:t>artículo 592</w:t>
        </w:r>
      </w:hyperlink>
      <w:r w:rsidRPr="006A52A9">
        <w:rPr>
          <w:rFonts w:eastAsia="Times New Roman" w:cs="Times New Roman"/>
          <w:szCs w:val="24"/>
          <w:lang w:eastAsia="es-CO"/>
        </w:rPr>
        <w:t xml:space="preserve"> </w:t>
      </w:r>
      <w:r w:rsidRPr="006A52A9">
        <w:rPr>
          <w:rFonts w:eastAsia="Times New Roman" w:cs="Times New Roman"/>
          <w:i/>
          <w:szCs w:val="24"/>
          <w:lang w:eastAsia="es-CO"/>
        </w:rPr>
        <w:t>ibídem.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Las preguntas relativas a la obligación de llevar contabilidad y al impuesto de industria y comercio se remitirán a las entidades competentes para que se pronuncien al respecto.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Atentamente,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b/>
          <w:szCs w:val="24"/>
          <w:lang w:eastAsia="es-CO"/>
        </w:rPr>
        <w:t>PEDRO PABLO CONTRERAS CAMARGO</w:t>
      </w:r>
    </w:p>
    <w:p w:rsidR="006A52A9" w:rsidRPr="006A52A9" w:rsidRDefault="006A52A9" w:rsidP="006A52A9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Subdirector de Gestión Normativa y Doctrina</w:t>
      </w:r>
    </w:p>
    <w:p w:rsidR="006A52A9" w:rsidRPr="006A52A9" w:rsidRDefault="006A52A9" w:rsidP="006A52A9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es-CO"/>
        </w:rPr>
      </w:pPr>
      <w:r w:rsidRPr="006A52A9">
        <w:rPr>
          <w:rFonts w:eastAsia="Times New Roman" w:cs="Times New Roman"/>
          <w:szCs w:val="24"/>
          <w:lang w:eastAsia="es-CO"/>
        </w:rPr>
        <w:t> </w:t>
      </w:r>
    </w:p>
    <w:sectPr w:rsidR="006A52A9" w:rsidRPr="006A52A9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A9"/>
    <w:rsid w:val="0029351E"/>
    <w:rsid w:val="006A52A9"/>
    <w:rsid w:val="00961BFA"/>
    <w:rsid w:val="00B94BED"/>
    <w:rsid w:val="00E3651C"/>
    <w:rsid w:val="00E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2495CC-D920-4A4B-8126-877BFE3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2" TargetMode="External"/><Relationship Id="rId13" Type="http://schemas.openxmlformats.org/officeDocument/2006/relationships/hyperlink" Target="https://www.ceta.org.co/html/vista_de_un_articulo.asp?Norma=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730" TargetMode="External"/><Relationship Id="rId12" Type="http://schemas.openxmlformats.org/officeDocument/2006/relationships/hyperlink" Target="https://www.ceta.org.co/html/vista_de_un_articulo.asp?Norma=73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2" TargetMode="External"/><Relationship Id="rId11" Type="http://schemas.openxmlformats.org/officeDocument/2006/relationships/hyperlink" Target="https://www.ceta.org.co/html/vista_de_un_articulo.asp?Norma=42" TargetMode="External"/><Relationship Id="rId5" Type="http://schemas.openxmlformats.org/officeDocument/2006/relationships/hyperlink" Target="mailto:sergio@villegasmel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eta.org.co/html/vista_de_un_articulo.asp?Norma=24" TargetMode="External"/><Relationship Id="rId4" Type="http://schemas.openxmlformats.org/officeDocument/2006/relationships/hyperlink" Target="mailto:lysacos@gmail.com" TargetMode="External"/><Relationship Id="rId9" Type="http://schemas.openxmlformats.org/officeDocument/2006/relationships/hyperlink" Target="https://www.ceta.org.co/html/vista_de_un_articulo.asp?Norma=42" TargetMode="External"/><Relationship Id="rId14" Type="http://schemas.openxmlformats.org/officeDocument/2006/relationships/hyperlink" Target="https://www.ceta.org.co/html/vista_de_un_articulo.asp?Norma=7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2</cp:revision>
  <dcterms:created xsi:type="dcterms:W3CDTF">2017-06-05T23:44:00Z</dcterms:created>
  <dcterms:modified xsi:type="dcterms:W3CDTF">2017-07-04T19:03:00Z</dcterms:modified>
</cp:coreProperties>
</file>