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18" w:rsidRPr="00D14F18" w:rsidRDefault="00D14F18" w:rsidP="00D14F18">
      <w:pPr>
        <w:spacing w:line="240" w:lineRule="auto"/>
        <w:jc w:val="center"/>
        <w:rPr>
          <w:rFonts w:eastAsia="Times New Roman" w:cs="Times New Roman"/>
          <w:b/>
          <w:szCs w:val="24"/>
          <w:lang w:eastAsia="es-CO"/>
        </w:rPr>
      </w:pPr>
      <w:r w:rsidRPr="00D14F18">
        <w:rPr>
          <w:rFonts w:eastAsia="Times New Roman" w:cs="Times New Roman"/>
          <w:b/>
          <w:bCs/>
          <w:szCs w:val="24"/>
          <w:lang w:eastAsia="es-CO"/>
        </w:rPr>
        <w:t>OFICIO Nº 008069</w:t>
      </w:r>
    </w:p>
    <w:p w:rsidR="00D14F18" w:rsidRPr="00D14F18" w:rsidRDefault="00D14F18" w:rsidP="00D14F18">
      <w:pPr>
        <w:spacing w:line="240" w:lineRule="auto"/>
        <w:jc w:val="center"/>
        <w:rPr>
          <w:rFonts w:eastAsia="Times New Roman" w:cs="Times New Roman"/>
          <w:b/>
          <w:szCs w:val="24"/>
          <w:lang w:eastAsia="es-CO"/>
        </w:rPr>
      </w:pPr>
      <w:r w:rsidRPr="00D14F18">
        <w:rPr>
          <w:rFonts w:eastAsia="Times New Roman" w:cs="Times New Roman"/>
          <w:b/>
          <w:bCs/>
          <w:szCs w:val="24"/>
          <w:lang w:eastAsia="es-CO"/>
        </w:rPr>
        <w:t>06-04-2017</w:t>
      </w:r>
    </w:p>
    <w:p w:rsidR="00D14F18" w:rsidRPr="00D14F18" w:rsidRDefault="00D14F18" w:rsidP="00D14F18">
      <w:pPr>
        <w:spacing w:line="240" w:lineRule="auto"/>
        <w:jc w:val="center"/>
        <w:rPr>
          <w:rFonts w:eastAsia="Times New Roman" w:cs="Times New Roman"/>
          <w:b/>
          <w:szCs w:val="24"/>
          <w:lang w:eastAsia="es-CO"/>
        </w:rPr>
      </w:pPr>
      <w:r w:rsidRPr="00D14F18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b/>
          <w:szCs w:val="24"/>
          <w:lang w:eastAsia="es-CO"/>
        </w:rPr>
      </w:pPr>
      <w:r w:rsidRPr="00D14F18">
        <w:rPr>
          <w:rFonts w:eastAsia="Times New Roman" w:cs="Times New Roman"/>
          <w:b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Bogotá, D.C.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100202208- 0322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Doctora: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color w:val="000000"/>
          <w:szCs w:val="24"/>
          <w:lang w:eastAsia="es-CO"/>
        </w:rPr>
        <w:t>SANDRA FORERO RAMÍREZ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Presidenta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Cámara Colombiana de la Construcción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CAMACOL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Carrera 19 N° 90-10 Piso 3.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Edificio CAMACOL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Bogotá D.C.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color w:val="000000"/>
          <w:szCs w:val="24"/>
          <w:lang w:eastAsia="es-CO"/>
        </w:rPr>
        <w:t>Ref.:</w:t>
      </w:r>
      <w:r w:rsidRPr="00D14F18">
        <w:rPr>
          <w:rFonts w:eastAsia="Times New Roman" w:cs="Times New Roman"/>
          <w:color w:val="000000"/>
          <w:szCs w:val="24"/>
          <w:lang w:eastAsia="es-CO"/>
        </w:rPr>
        <w:t> Solicitud vía de Concepto.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color w:val="000000"/>
          <w:szCs w:val="24"/>
          <w:lang w:eastAsia="es-CO"/>
        </w:rPr>
        <w:t>Tema: </w:t>
      </w:r>
      <w:r w:rsidRPr="00D14F18">
        <w:rPr>
          <w:rFonts w:eastAsia="Times New Roman" w:cs="Times New Roman"/>
          <w:color w:val="000000"/>
          <w:szCs w:val="24"/>
          <w:lang w:eastAsia="es-CO"/>
        </w:rPr>
        <w:t>Impuesto a la Renta.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color w:val="000000"/>
          <w:szCs w:val="24"/>
          <w:lang w:eastAsia="es-CO"/>
        </w:rPr>
        <w:t>Descriptores: </w:t>
      </w:r>
      <w:r w:rsidRPr="00D14F18">
        <w:rPr>
          <w:rFonts w:eastAsia="Times New Roman" w:cs="Times New Roman"/>
          <w:color w:val="000000"/>
          <w:szCs w:val="24"/>
          <w:lang w:eastAsia="es-CO"/>
        </w:rPr>
        <w:t>Rentas Exentas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color w:val="000000"/>
          <w:szCs w:val="24"/>
          <w:lang w:eastAsia="es-CO"/>
        </w:rPr>
        <w:t>Fuentes formales: </w:t>
      </w:r>
      <w:hyperlink r:id="rId4" w:tooltip="Estatuto Tributario CETA" w:history="1">
        <w:r w:rsidRPr="00D14F18">
          <w:rPr>
            <w:rFonts w:eastAsia="Times New Roman" w:cs="Times New Roman"/>
            <w:color w:val="0089E1"/>
            <w:szCs w:val="24"/>
            <w:lang w:eastAsia="es-CO"/>
          </w:rPr>
          <w:t>Artículo 207-2</w:t>
        </w:r>
      </w:hyperlink>
      <w:r w:rsidRPr="00D14F18">
        <w:rPr>
          <w:rFonts w:eastAsia="Times New Roman" w:cs="Times New Roman"/>
          <w:color w:val="000000"/>
          <w:szCs w:val="24"/>
          <w:lang w:eastAsia="es-CO"/>
        </w:rPr>
        <w:t> del Estatuto Tributario.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Cordial saludo, Doctora Sandra Forero: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De conformidad con el artículo 20 del Decreto 4048 de 2008, es función de esta Subdirección absolver las consultas escritas que se formulen sobre la interpretación y aplicación de las normas tributarias de carácter nacional, aduaneras y cambiarias en lo de competencia de la Entidad.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De conformidad con su solicitud en donde solicita se aclare la expresión proferida por parte de esta Dirección a través del concepto 0132 del 9 de Febrero de 2017 este despacho en donde manifestó que: "... para efectos fiscales, todo monto que supere los máximos establecidos por SMLMV para cada unidad habitacional de VIS o VIP o la inclusión de otros muebles o inmuebles que no están previstos en la norma como de usos y servicios complementarios o conexos, como lo son los locales comerciales, no serán considerados como base de la exención”.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Manifiesta en su solicitud que la anterior expresión, ha generado dudas en el sector en cuanto a los máximos establecidos por SMLMV para la realización de proyectos VIS o VIP y su tratamiento correlativo como renta exenta para efectos fiscales: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 xml:space="preserve">Así las cosas, en criterio del consultante </w:t>
      </w:r>
      <w:proofErr w:type="gramStart"/>
      <w:r w:rsidRPr="00D14F18">
        <w:rPr>
          <w:rFonts w:eastAsia="Times New Roman" w:cs="Times New Roman"/>
          <w:color w:val="000000"/>
          <w:szCs w:val="24"/>
          <w:lang w:eastAsia="es-CO"/>
        </w:rPr>
        <w:t>puede</w:t>
      </w:r>
      <w:proofErr w:type="gramEnd"/>
      <w:r w:rsidRPr="00D14F18">
        <w:rPr>
          <w:rFonts w:eastAsia="Times New Roman" w:cs="Times New Roman"/>
          <w:color w:val="000000"/>
          <w:szCs w:val="24"/>
          <w:lang w:eastAsia="es-CO"/>
        </w:rPr>
        <w:t xml:space="preserve"> entenderse dos supuestos respecto el tope máximo establecido en la norma para la realización de proyectos VIS o VIP: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La primera interpretación supone que cuando se enajenen unidades habitacionales y con ella depósitos y parqueaderos por separado, el monto total del proyecto (incluyendo estos conceptos) no podrá superar el monto máximo en SMLV para la realización de estos proyectos, y en caso tal que se superen, el exceso de ese valor no gozará del beneficio de renta exenta de que trata la Ley.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 xml:space="preserve">La segunda interpretación supone que si a pesar de que el monto total del proyecto (incluyendo depósitos y parqueaderos) excede el monto máximo en SMLV para la </w:t>
      </w:r>
      <w:r w:rsidRPr="00D14F18">
        <w:rPr>
          <w:rFonts w:eastAsia="Times New Roman" w:cs="Times New Roman"/>
          <w:color w:val="000000"/>
          <w:szCs w:val="24"/>
          <w:lang w:eastAsia="es-CO"/>
        </w:rPr>
        <w:lastRenderedPageBreak/>
        <w:t>realización de estos proyectos, pero la unidad habitacional por sí sola no la supera, el proyecto en su totalidad gozará del tratamiento de renta exenta.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Al respecto este despacho se permite manifestar lo siguiente: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Tal y como lo manifestó este despacho en el concepto que solicita su aclaración, el parágrafo 1 del artículo 2.1.1.1.1.1.7 del decreto 1077 de 2015, indica que:</w:t>
      </w:r>
    </w:p>
    <w:p w:rsidR="00D14F18" w:rsidRPr="00D14F18" w:rsidRDefault="00D14F18" w:rsidP="00D14F18">
      <w:pPr>
        <w:spacing w:line="240" w:lineRule="auto"/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ind w:left="180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PARÁGRAFO 1º. </w:t>
      </w:r>
      <w:r w:rsidRPr="00D14F18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El valor de la vivienda nueva será el estipulado en los contratos de adquisición, y se presumirá que el mismo incluye tanto el valor de los bienes muebles e inmuebles que presten usos y servicios complementarios o conexos a los mismos tales como parqueaderos, depósitos, buhardillas, terrazas, antejardines o patios, como el correspondiente a contratos de mejoras o acabados suscritos con el oferente o con terceros. El valor consolidado de la vivienda conforme a lo aquí establecido no podrá superar los setenta (70) salarios mínimos legales mensuales vigentes cuando se trate de viviendas adquiridas con Subsidio Familiar de Vivienda otorgado por el Gobierno Nacional, y de ciento treinta y cinco (135) salarios mínimos legales mensuales vigentes cuando se trate de subsidios otorgados por las Cajas de Compensación Familiar, o el subsidio otorgado por el Gobierno Nacional en </w:t>
      </w:r>
      <w:proofErr w:type="spellStart"/>
      <w:r w:rsidRPr="00D14F18">
        <w:rPr>
          <w:rFonts w:eastAsia="Times New Roman" w:cs="Times New Roman"/>
          <w:i/>
          <w:iCs/>
          <w:color w:val="000000"/>
          <w:szCs w:val="24"/>
          <w:lang w:eastAsia="es-CO"/>
        </w:rPr>
        <w:t>macroproyectos</w:t>
      </w:r>
      <w:proofErr w:type="spellEnd"/>
      <w:r w:rsidRPr="00D14F18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 de interés social nacional.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Como se observa de la norma transcrita el valor máximo en SMLMV para los proyectos VIS y VIP, no puede exceder en su conjunto los topes establecidos en la norma, y dentro de este valor se incluyen no sólo la unidad habitacional sino los bienes muebles e inmuebles que prestan usos y servicios complementarios o conexos a esta, entre los cuales se encuentran los parqueaderos, depósitos, buhardillas, terrazas, antejardines o patios, como el correspondiente a contratos de mejoras o acabados suscritos con el oferente o con terceros, por lo que para efectos del tratamiento del beneficio de renta exenta del impuesto de renta debe entenderse en este contexto.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u w:val="single"/>
          <w:lang w:eastAsia="es-CO"/>
        </w:rPr>
        <w:t xml:space="preserve">En consecuencia, sólo gozarán del tratamiento de renta exenta aquellos proyectos cuyo valor en su conjunto, vale decir, unidad habitacional y bienes muebles e inmuebles que prestan usos y servicios complementarios o conexos a esta (entre los cuales se encuentran los parqueaderos, depósitos, buhardillas, terrazas, antejardines o patios, como el correspondiente a contratos de mejoras o acabados suscritos con el oferente o con terceros) no exceda los topes establecidos en la Ley para este tipo de proyectos de conformidad con la legislación vigente. Por consiguiente, los proyectos cuya unidad habitacional y servicios conexos o complementarios de que trata la norma antes transcrita (parqueaderos, depósitos, buhardillas, terrazas, antejardines o patios, acabados, </w:t>
      </w:r>
      <w:proofErr w:type="spellStart"/>
      <w:r w:rsidRPr="00D14F18">
        <w:rPr>
          <w:rFonts w:eastAsia="Times New Roman" w:cs="Times New Roman"/>
          <w:color w:val="000000"/>
          <w:szCs w:val="24"/>
          <w:u w:val="single"/>
          <w:lang w:eastAsia="es-CO"/>
        </w:rPr>
        <w:t>etc</w:t>
      </w:r>
      <w:proofErr w:type="spellEnd"/>
      <w:r w:rsidRPr="00D14F18">
        <w:rPr>
          <w:rFonts w:eastAsia="Times New Roman" w:cs="Times New Roman"/>
          <w:color w:val="000000"/>
          <w:szCs w:val="24"/>
          <w:u w:val="single"/>
          <w:lang w:eastAsia="es-CO"/>
        </w:rPr>
        <w:t>) superen los topes máximos establecidos legalmente en SMLMV para vivienda de interés social y prioritaria, NO tendrán el tratamiento de renta exenta de que trata la ley</w:t>
      </w:r>
      <w:r w:rsidRPr="00D14F18">
        <w:rPr>
          <w:rFonts w:eastAsia="Times New Roman" w:cs="Times New Roman"/>
          <w:color w:val="000000"/>
          <w:szCs w:val="24"/>
          <w:lang w:eastAsia="es-CO"/>
        </w:rPr>
        <w:t>.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color w:val="000000"/>
          <w:szCs w:val="24"/>
          <w:lang w:eastAsia="es-CO"/>
        </w:rPr>
        <w:t>En los anteriores términos se aclara y se revoca en lo que corresponde el concepto 0132 del 9 de febrero de 2017</w:t>
      </w:r>
      <w:r w:rsidRPr="00D14F18">
        <w:rPr>
          <w:rFonts w:eastAsia="Times New Roman" w:cs="Times New Roman"/>
          <w:color w:val="000000"/>
          <w:szCs w:val="24"/>
          <w:lang w:eastAsia="es-CO"/>
        </w:rPr>
        <w:t xml:space="preserve"> y de manera cordial le informa el despacho que la Dirección de Impuestos y Aduanas Nacionales, con el fin de facilitar a los contribuyentes, usuarios y público en general el acceso directo a sus pronunciamientos doctrinarios ha publicado en su página de Internet </w:t>
      </w:r>
      <w:proofErr w:type="spellStart"/>
      <w:r w:rsidRPr="00D14F18">
        <w:rPr>
          <w:rFonts w:eastAsia="Times New Roman" w:cs="Times New Roman"/>
          <w:color w:val="000000"/>
          <w:szCs w:val="24"/>
          <w:lang w:eastAsia="es-CO"/>
        </w:rPr>
        <w:fldChar w:fldCharType="begin"/>
      </w:r>
      <w:r w:rsidRPr="00D14F18">
        <w:rPr>
          <w:rFonts w:eastAsia="Times New Roman" w:cs="Times New Roman"/>
          <w:color w:val="000000"/>
          <w:szCs w:val="24"/>
          <w:lang w:eastAsia="es-CO"/>
        </w:rPr>
        <w:instrText xml:space="preserve"> HYPERLINK "http://www.dian.gov.co/" </w:instrText>
      </w:r>
      <w:r w:rsidRPr="00D14F18">
        <w:rPr>
          <w:rFonts w:eastAsia="Times New Roman" w:cs="Times New Roman"/>
          <w:color w:val="000000"/>
          <w:szCs w:val="24"/>
          <w:lang w:eastAsia="es-CO"/>
        </w:rPr>
        <w:fldChar w:fldCharType="separate"/>
      </w:r>
      <w:r w:rsidRPr="00D14F18">
        <w:rPr>
          <w:rFonts w:eastAsia="Times New Roman" w:cs="Times New Roman"/>
          <w:color w:val="0563C1"/>
          <w:szCs w:val="24"/>
          <w:lang w:eastAsia="es-CO"/>
        </w:rPr>
        <w:t>www.dian.gov.co</w:t>
      </w:r>
      <w:proofErr w:type="spellEnd"/>
      <w:r w:rsidRPr="00D14F18">
        <w:rPr>
          <w:rFonts w:eastAsia="Times New Roman" w:cs="Times New Roman"/>
          <w:color w:val="000000"/>
          <w:szCs w:val="24"/>
          <w:lang w:eastAsia="es-CO"/>
        </w:rPr>
        <w:fldChar w:fldCharType="end"/>
      </w:r>
      <w:r w:rsidRPr="00D14F18">
        <w:rPr>
          <w:rFonts w:eastAsia="Times New Roman" w:cs="Times New Roman"/>
          <w:color w:val="000000"/>
          <w:szCs w:val="24"/>
          <w:lang w:eastAsia="es-CO"/>
        </w:rPr>
        <w:t>, </w:t>
      </w:r>
      <w:hyperlink r:id="rId5" w:history="1">
        <w:r w:rsidRPr="00D14F18">
          <w:rPr>
            <w:rFonts w:eastAsia="Times New Roman" w:cs="Times New Roman"/>
            <w:color w:val="0563C1"/>
            <w:szCs w:val="24"/>
            <w:lang w:eastAsia="es-CO"/>
          </w:rPr>
          <w:t>http://</w:t>
        </w:r>
        <w:proofErr w:type="spellStart"/>
        <w:r w:rsidRPr="00D14F18">
          <w:rPr>
            <w:rFonts w:eastAsia="Times New Roman" w:cs="Times New Roman"/>
            <w:color w:val="0563C1"/>
            <w:szCs w:val="24"/>
            <w:lang w:eastAsia="es-CO"/>
          </w:rPr>
          <w:t>www.dian.gov.co</w:t>
        </w:r>
        <w:proofErr w:type="spellEnd"/>
      </w:hyperlink>
      <w:r w:rsidRPr="00D14F18">
        <w:rPr>
          <w:rFonts w:eastAsia="Times New Roman" w:cs="Times New Roman"/>
          <w:color w:val="000000"/>
          <w:szCs w:val="24"/>
          <w:lang w:eastAsia="es-CO"/>
        </w:rPr>
        <w:t xml:space="preserve"> la base de conceptos en materia tributaria, aduanera y cambiaria expedidos desde el año 2001, la cual se puede ingresar por el icono de "Normatividad" -“técnica"– dando </w:t>
      </w:r>
      <w:proofErr w:type="spellStart"/>
      <w:r w:rsidRPr="00D14F18">
        <w:rPr>
          <w:rFonts w:eastAsia="Times New Roman" w:cs="Times New Roman"/>
          <w:color w:val="000000"/>
          <w:szCs w:val="24"/>
          <w:lang w:eastAsia="es-CO"/>
        </w:rPr>
        <w:t>click</w:t>
      </w:r>
      <w:proofErr w:type="spellEnd"/>
      <w:r w:rsidRPr="00D14F18">
        <w:rPr>
          <w:rFonts w:eastAsia="Times New Roman" w:cs="Times New Roman"/>
          <w:color w:val="000000"/>
          <w:szCs w:val="24"/>
          <w:lang w:eastAsia="es-CO"/>
        </w:rPr>
        <w:t xml:space="preserve"> en el link "Doctrina" - “Dirección de Gestión Jurídica.”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Atentamente,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 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b/>
          <w:bCs/>
          <w:color w:val="000000"/>
          <w:szCs w:val="24"/>
          <w:lang w:eastAsia="es-CO"/>
        </w:rPr>
        <w:t>DANIEL FELIPE ORTEGÓN SÁNCHEZ</w:t>
      </w:r>
    </w:p>
    <w:p w:rsidR="00D14F18" w:rsidRPr="00D14F18" w:rsidRDefault="00D14F18" w:rsidP="00D14F18">
      <w:pPr>
        <w:spacing w:line="240" w:lineRule="auto"/>
        <w:rPr>
          <w:rFonts w:eastAsia="Times New Roman" w:cs="Times New Roman"/>
          <w:color w:val="000000"/>
          <w:szCs w:val="24"/>
          <w:lang w:eastAsia="es-CO"/>
        </w:rPr>
      </w:pPr>
      <w:r w:rsidRPr="00D14F18">
        <w:rPr>
          <w:rFonts w:eastAsia="Times New Roman" w:cs="Times New Roman"/>
          <w:color w:val="000000"/>
          <w:szCs w:val="24"/>
          <w:lang w:eastAsia="es-CO"/>
        </w:rPr>
        <w:t>Director de Gestión Jurídica (E)</w:t>
      </w:r>
      <w:bookmarkStart w:id="0" w:name="_GoBack"/>
      <w:bookmarkEnd w:id="0"/>
    </w:p>
    <w:sectPr w:rsidR="00D14F18" w:rsidRPr="00D14F18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18"/>
    <w:rsid w:val="0029351E"/>
    <w:rsid w:val="0070086B"/>
    <w:rsid w:val="00784A3A"/>
    <w:rsid w:val="00961BFA"/>
    <w:rsid w:val="00B94BED"/>
    <w:rsid w:val="00D14F18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662EA2-9D67-4748-9AFD-957FEF5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n.gov.co/" TargetMode="External"/><Relationship Id="rId4" Type="http://schemas.openxmlformats.org/officeDocument/2006/relationships/hyperlink" Target="https://www.ceta.org.co/html/vista_de_un_articulo.asp?Norma=108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3</cp:revision>
  <dcterms:created xsi:type="dcterms:W3CDTF">2017-06-25T13:32:00Z</dcterms:created>
  <dcterms:modified xsi:type="dcterms:W3CDTF">2017-06-25T13:34:00Z</dcterms:modified>
</cp:coreProperties>
</file>