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FF" w:rsidRPr="00565DFF" w:rsidRDefault="00565DFF" w:rsidP="00565DFF">
      <w:pPr>
        <w:spacing w:line="240" w:lineRule="auto"/>
        <w:jc w:val="center"/>
        <w:rPr>
          <w:rFonts w:eastAsia="Times New Roman" w:cs="Times New Roman"/>
          <w:szCs w:val="24"/>
          <w:lang w:eastAsia="es-CO"/>
        </w:rPr>
      </w:pPr>
      <w:r w:rsidRPr="00565DFF">
        <w:rPr>
          <w:rFonts w:eastAsia="Times New Roman" w:cs="Times New Roman"/>
          <w:b/>
          <w:bCs/>
          <w:szCs w:val="24"/>
          <w:lang w:eastAsia="es-CO"/>
        </w:rPr>
        <w:t>OFICIO Nº 007407</w:t>
      </w:r>
    </w:p>
    <w:p w:rsidR="00565DFF" w:rsidRPr="00565DFF" w:rsidRDefault="00565DFF" w:rsidP="00565DFF">
      <w:pPr>
        <w:spacing w:line="240" w:lineRule="auto"/>
        <w:jc w:val="center"/>
        <w:rPr>
          <w:rFonts w:eastAsia="Times New Roman" w:cs="Times New Roman"/>
          <w:szCs w:val="24"/>
          <w:lang w:eastAsia="es-CO"/>
        </w:rPr>
      </w:pPr>
      <w:r w:rsidRPr="00565DFF">
        <w:rPr>
          <w:rFonts w:eastAsia="Times New Roman" w:cs="Times New Roman"/>
          <w:b/>
          <w:bCs/>
          <w:szCs w:val="24"/>
          <w:lang w:eastAsia="es-CO"/>
        </w:rPr>
        <w:t>31-03-2017</w:t>
      </w:r>
    </w:p>
    <w:p w:rsidR="00565DFF" w:rsidRPr="00565DFF" w:rsidRDefault="00565DFF" w:rsidP="00565DFF">
      <w:pPr>
        <w:spacing w:line="240" w:lineRule="auto"/>
        <w:jc w:val="center"/>
        <w:rPr>
          <w:rFonts w:eastAsia="Times New Roman" w:cs="Times New Roman"/>
          <w:szCs w:val="24"/>
          <w:lang w:eastAsia="es-CO"/>
        </w:rPr>
      </w:pPr>
      <w:r w:rsidRPr="00565DFF">
        <w:rPr>
          <w:rFonts w:eastAsia="Times New Roman" w:cs="Times New Roman"/>
          <w:b/>
          <w:bCs/>
          <w:szCs w:val="24"/>
          <w:lang w:eastAsia="es-CO"/>
        </w:rPr>
        <w:t>DIAN</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Dirección de Gestión Jurídica</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Bogotá, D. C.</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100202208-0318</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Señora</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JAZMÍN ROCÍO MURCIA ARIAS</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Jefe Financiera Escuela de Posgrados de Policía</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Ministerio de Defensa Nacional - Policía Nacional -Escuela de Posgrados de Policía-</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Avenida Boyacá 142ª -55</w:t>
      </w:r>
    </w:p>
    <w:p w:rsidR="00565DFF" w:rsidRPr="00565DFF" w:rsidRDefault="00AD6FBA" w:rsidP="00565DFF">
      <w:pPr>
        <w:spacing w:line="240" w:lineRule="auto"/>
        <w:rPr>
          <w:rFonts w:eastAsia="Times New Roman" w:cs="Times New Roman"/>
          <w:szCs w:val="24"/>
          <w:lang w:eastAsia="es-CO"/>
        </w:rPr>
      </w:pPr>
      <w:hyperlink r:id="rId4" w:history="1">
        <w:proofErr w:type="spellStart"/>
        <w:r w:rsidR="00565DFF" w:rsidRPr="00565DFF">
          <w:rPr>
            <w:rFonts w:eastAsia="Times New Roman" w:cs="Times New Roman"/>
            <w:szCs w:val="24"/>
            <w:lang w:eastAsia="es-CO"/>
          </w:rPr>
          <w:t>espol.gumov@policia.gov.co</w:t>
        </w:r>
        <w:proofErr w:type="spellEnd"/>
      </w:hyperlink>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Bogotá</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Referencia:</w:t>
      </w:r>
      <w:r w:rsidRPr="00565DFF">
        <w:rPr>
          <w:rFonts w:eastAsia="Times New Roman" w:cs="Times New Roman"/>
          <w:szCs w:val="24"/>
          <w:lang w:eastAsia="es-CO"/>
        </w:rPr>
        <w:t> Radicado 100007700 del 20/02/2017</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En el oficio de radicado de la referencia se solicita que este despacho se pronuncia si el Concepto número 076155 de octubre 18 de 2005, en la parte final que se transcribe a continuación, se encuentra vigente</w:t>
      </w:r>
      <w:proofErr w:type="gramStart"/>
      <w:r w:rsidRPr="00565DFF">
        <w:rPr>
          <w:rFonts w:eastAsia="Times New Roman" w:cs="Times New Roman"/>
          <w:szCs w:val="24"/>
          <w:lang w:eastAsia="es-CO"/>
        </w:rPr>
        <w:t>?</w:t>
      </w:r>
      <w:proofErr w:type="gramEnd"/>
    </w:p>
    <w:p w:rsidR="00565DFF" w:rsidRPr="00565DFF" w:rsidRDefault="00565DFF" w:rsidP="00565DFF">
      <w:pPr>
        <w:spacing w:line="240" w:lineRule="auto"/>
        <w:ind w:left="284"/>
        <w:rPr>
          <w:rFonts w:eastAsia="Times New Roman" w:cs="Times New Roman"/>
          <w:szCs w:val="24"/>
          <w:lang w:eastAsia="es-CO"/>
        </w:rPr>
      </w:pPr>
      <w:r w:rsidRPr="00565DFF">
        <w:rPr>
          <w:rFonts w:eastAsia="Times New Roman" w:cs="Times New Roman"/>
          <w:szCs w:val="24"/>
          <w:lang w:eastAsia="es-CO"/>
        </w:rPr>
        <w:t> </w:t>
      </w:r>
    </w:p>
    <w:p w:rsidR="00565DFF" w:rsidRPr="00565DFF" w:rsidRDefault="00565DFF" w:rsidP="00565DFF">
      <w:pPr>
        <w:spacing w:line="240" w:lineRule="auto"/>
        <w:ind w:left="284"/>
        <w:rPr>
          <w:rFonts w:eastAsia="Times New Roman" w:cs="Times New Roman"/>
          <w:szCs w:val="24"/>
          <w:lang w:eastAsia="es-CO"/>
        </w:rPr>
      </w:pPr>
      <w:r w:rsidRPr="00565DFF">
        <w:rPr>
          <w:rFonts w:eastAsia="Times New Roman" w:cs="Times New Roman"/>
          <w:szCs w:val="24"/>
          <w:lang w:eastAsia="es-CO"/>
        </w:rPr>
        <w:t>(...)</w:t>
      </w:r>
    </w:p>
    <w:p w:rsidR="00565DFF" w:rsidRPr="00565DFF" w:rsidRDefault="00565DFF" w:rsidP="00565DFF">
      <w:pPr>
        <w:spacing w:line="240" w:lineRule="auto"/>
        <w:ind w:left="284"/>
        <w:rPr>
          <w:rFonts w:eastAsia="Times New Roman" w:cs="Times New Roman"/>
          <w:szCs w:val="24"/>
          <w:lang w:eastAsia="es-CO"/>
        </w:rPr>
      </w:pPr>
      <w:r w:rsidRPr="00565DFF">
        <w:rPr>
          <w:rFonts w:eastAsia="Times New Roman" w:cs="Times New Roman"/>
          <w:i/>
          <w:iCs/>
          <w:szCs w:val="24"/>
          <w:lang w:eastAsia="es-CO"/>
        </w:rPr>
        <w:t>Distinta es la situación cuando, por ejemplo, en un taller de reparaciones y mantenimiento de vehículos se suministran algunos de los productos derivados del petróleo como elemento necesario de la prestación del servicio a título oneroso. En tal evento, la base para liquidar y facturar el impuesto sobre las ventas es el valor total del servicio, incluyendo los insumos, repuestos, mano de obra, etc., que se requieran por parte del taller, como está previsto en los artículos </w:t>
      </w:r>
      <w:hyperlink r:id="rId5" w:tooltip="Estatuto Tributario CETA" w:history="1">
        <w:r w:rsidRPr="00565DFF">
          <w:rPr>
            <w:rFonts w:eastAsia="Times New Roman" w:cs="Times New Roman"/>
            <w:i/>
            <w:iCs/>
            <w:szCs w:val="24"/>
            <w:lang w:eastAsia="es-CO"/>
          </w:rPr>
          <w:t>447</w:t>
        </w:r>
      </w:hyperlink>
      <w:r w:rsidRPr="00565DFF">
        <w:rPr>
          <w:rFonts w:eastAsia="Times New Roman" w:cs="Times New Roman"/>
          <w:i/>
          <w:iCs/>
          <w:szCs w:val="24"/>
          <w:lang w:eastAsia="es-CO"/>
        </w:rPr>
        <w:t> y </w:t>
      </w:r>
      <w:hyperlink r:id="rId6" w:tooltip="Estatuto Tributario CETA" w:history="1">
        <w:r w:rsidRPr="00565DFF">
          <w:rPr>
            <w:rFonts w:eastAsia="Times New Roman" w:cs="Times New Roman"/>
            <w:i/>
            <w:iCs/>
            <w:szCs w:val="24"/>
            <w:lang w:eastAsia="es-CO"/>
          </w:rPr>
          <w:t>448</w:t>
        </w:r>
      </w:hyperlink>
      <w:r w:rsidRPr="00565DFF">
        <w:rPr>
          <w:rFonts w:eastAsia="Times New Roman" w:cs="Times New Roman"/>
          <w:i/>
          <w:iCs/>
          <w:szCs w:val="24"/>
          <w:lang w:eastAsia="es-CO"/>
        </w:rPr>
        <w:t> del Estatuto Tributario. Se infiere de lo anterior que para el taller los derivados del petróleo integran la base gravable del IVA en cuanto constituyen componente necesario del servicio prestado, y le otorgan derecho a manejar como descontable el impuesto sobre las ventas pagado al adquirirlos, aplicando el artículo 9° del Decreto 3050 de 1997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i/>
          <w:iCs/>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Es menester traer a colación la modificación introducida por el artículo 181 de la Ley 1819 de 2016, que modificó el </w:t>
      </w:r>
      <w:hyperlink r:id="rId7" w:tooltip="Estatuto Tributario CETA" w:history="1">
        <w:r w:rsidRPr="00565DFF">
          <w:rPr>
            <w:rFonts w:eastAsia="Times New Roman" w:cs="Times New Roman"/>
            <w:szCs w:val="24"/>
            <w:lang w:eastAsia="es-CO"/>
          </w:rPr>
          <w:t>artículo 444</w:t>
        </w:r>
      </w:hyperlink>
      <w:r w:rsidRPr="00565DFF">
        <w:rPr>
          <w:rFonts w:eastAsia="Times New Roman" w:cs="Times New Roman"/>
          <w:szCs w:val="24"/>
          <w:lang w:eastAsia="es-CO"/>
        </w:rPr>
        <w:t> del Estatuto Tributario, así:</w:t>
      </w:r>
    </w:p>
    <w:p w:rsidR="00565DFF" w:rsidRPr="00565DFF" w:rsidRDefault="00565DFF" w:rsidP="00565DFF">
      <w:pPr>
        <w:spacing w:line="240" w:lineRule="auto"/>
        <w:ind w:left="284"/>
        <w:rPr>
          <w:rFonts w:eastAsia="Times New Roman" w:cs="Times New Roman"/>
          <w:szCs w:val="24"/>
          <w:lang w:eastAsia="es-CO"/>
        </w:rPr>
      </w:pPr>
      <w:r w:rsidRPr="00565DFF">
        <w:rPr>
          <w:rFonts w:eastAsia="Times New Roman" w:cs="Times New Roman"/>
          <w:b/>
          <w:bCs/>
          <w:i/>
          <w:iCs/>
          <w:szCs w:val="24"/>
          <w:lang w:eastAsia="es-CO"/>
        </w:rPr>
        <w:t> </w:t>
      </w:r>
    </w:p>
    <w:p w:rsidR="00565DFF" w:rsidRPr="00565DFF" w:rsidRDefault="00AD6FBA" w:rsidP="00565DFF">
      <w:pPr>
        <w:spacing w:line="240" w:lineRule="auto"/>
        <w:ind w:left="284"/>
        <w:rPr>
          <w:rFonts w:eastAsia="Times New Roman" w:cs="Times New Roman"/>
          <w:szCs w:val="24"/>
          <w:lang w:eastAsia="es-CO"/>
        </w:rPr>
      </w:pPr>
      <w:hyperlink r:id="rId8" w:tooltip="Estatuto Tributario CETA" w:history="1">
        <w:r w:rsidR="00565DFF" w:rsidRPr="00565DFF">
          <w:rPr>
            <w:rFonts w:eastAsia="Times New Roman" w:cs="Times New Roman"/>
            <w:b/>
            <w:bCs/>
            <w:i/>
            <w:iCs/>
            <w:szCs w:val="24"/>
            <w:lang w:eastAsia="es-CO"/>
          </w:rPr>
          <w:t>Artículo 444</w:t>
        </w:r>
      </w:hyperlink>
      <w:r w:rsidR="00565DFF" w:rsidRPr="00565DFF">
        <w:rPr>
          <w:rFonts w:eastAsia="Times New Roman" w:cs="Times New Roman"/>
          <w:b/>
          <w:bCs/>
          <w:i/>
          <w:iCs/>
          <w:szCs w:val="24"/>
          <w:lang w:eastAsia="es-CO"/>
        </w:rPr>
        <w:t>. Responsables en la venta de derivados del petróleo. </w:t>
      </w:r>
      <w:r w:rsidR="00565DFF" w:rsidRPr="00565DFF">
        <w:rPr>
          <w:rFonts w:eastAsia="Times New Roman" w:cs="Times New Roman"/>
          <w:i/>
          <w:iCs/>
          <w:szCs w:val="24"/>
          <w:lang w:eastAsia="es-CO"/>
        </w:rPr>
        <w:t xml:space="preserve">Son responsables del impuesto en la venta de productos derivados del petróleo, </w:t>
      </w:r>
      <w:r w:rsidR="00565DFF" w:rsidRPr="00AD6FBA">
        <w:rPr>
          <w:rFonts w:eastAsia="Times New Roman" w:cs="Times New Roman"/>
          <w:b/>
          <w:i/>
          <w:iCs/>
          <w:szCs w:val="24"/>
          <w:lang w:eastAsia="es-CO"/>
        </w:rPr>
        <w:t>los productores, los importadores, los vinculados económicos de unos y otros</w:t>
      </w:r>
      <w:r w:rsidR="00565DFF" w:rsidRPr="00565DFF">
        <w:rPr>
          <w:rFonts w:eastAsia="Times New Roman" w:cs="Times New Roman"/>
          <w:i/>
          <w:iCs/>
          <w:szCs w:val="24"/>
          <w:lang w:eastAsia="es-CO"/>
        </w:rPr>
        <w:t>, los </w:t>
      </w:r>
      <w:r w:rsidR="00565DFF" w:rsidRPr="00565DFF">
        <w:rPr>
          <w:rFonts w:eastAsia="Times New Roman" w:cs="Times New Roman"/>
          <w:i/>
          <w:iCs/>
          <w:szCs w:val="24"/>
          <w:u w:val="single"/>
          <w:lang w:eastAsia="es-CO"/>
        </w:rPr>
        <w:t>distribuidores mayoristas y/o comercializadores industriales</w:t>
      </w:r>
      <w:r w:rsidR="00565DFF" w:rsidRPr="00565DFF">
        <w:rPr>
          <w:rFonts w:eastAsia="Times New Roman" w:cs="Times New Roman"/>
          <w:i/>
          <w:iCs/>
          <w:szCs w:val="24"/>
          <w:lang w:eastAsia="es-CO"/>
        </w:rPr>
        <w:t>. (...) </w:t>
      </w:r>
      <w:r w:rsidR="00565DFF" w:rsidRPr="00565DFF">
        <w:rPr>
          <w:rFonts w:eastAsia="Times New Roman" w:cs="Times New Roman"/>
          <w:szCs w:val="24"/>
          <w:lang w:eastAsia="es-CO"/>
        </w:rPr>
        <w:t>subrayado y cursivo es nuestro.</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rsidR="00565DFF" w:rsidRPr="00AD6FBA" w:rsidRDefault="00565DFF" w:rsidP="00565DFF">
      <w:pPr>
        <w:spacing w:line="240" w:lineRule="auto"/>
        <w:rPr>
          <w:rFonts w:eastAsia="Times New Roman" w:cs="Times New Roman"/>
          <w:b/>
          <w:szCs w:val="24"/>
          <w:lang w:eastAsia="es-CO"/>
        </w:rPr>
      </w:pPr>
      <w:r w:rsidRPr="00AD6FBA">
        <w:rPr>
          <w:rFonts w:eastAsia="Times New Roman" w:cs="Times New Roman"/>
          <w:b/>
          <w:szCs w:val="24"/>
          <w:lang w:eastAsia="es-CO"/>
        </w:rPr>
        <w:t>Por lo tanto se concluye que el inciso final del Concepto número 076155 de octubre 18 de 2005 continúa vigente, siempre y cuando el que comercializa el producto derivado del petróleo no cumpla las condiciones para ser responsable del impuesto sobre las ventas de acuerdo a lo establecido en el </w:t>
      </w:r>
      <w:hyperlink r:id="rId9" w:tooltip="Estatuto Tributario CETA" w:history="1">
        <w:r w:rsidRPr="00AD6FBA">
          <w:rPr>
            <w:rFonts w:eastAsia="Times New Roman" w:cs="Times New Roman"/>
            <w:b/>
            <w:szCs w:val="24"/>
            <w:lang w:eastAsia="es-CO"/>
          </w:rPr>
          <w:t>artículo 444</w:t>
        </w:r>
      </w:hyperlink>
      <w:r w:rsidRPr="00AD6FBA">
        <w:rPr>
          <w:rFonts w:eastAsia="Times New Roman" w:cs="Times New Roman"/>
          <w:b/>
          <w:szCs w:val="24"/>
          <w:lang w:eastAsia="es-CO"/>
        </w:rPr>
        <w:t> del Estatuto Tributario.</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Atentamente,</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szCs w:val="24"/>
          <w:lang w:eastAsia="es-CO"/>
        </w:rPr>
        <w:t> </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szCs w:val="24"/>
          <w:lang w:eastAsia="es-CO"/>
        </w:rPr>
        <w:t>El Director de Gestión Jurídica,</w:t>
      </w:r>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b/>
          <w:bCs/>
          <w:i/>
          <w:iCs/>
          <w:szCs w:val="24"/>
          <w:lang w:eastAsia="es-CO"/>
        </w:rPr>
        <w:t> </w:t>
      </w:r>
      <w:bookmarkStart w:id="0" w:name="_GoBack"/>
      <w:bookmarkEnd w:id="0"/>
    </w:p>
    <w:p w:rsidR="00565DFF" w:rsidRPr="00565DFF" w:rsidRDefault="00565DFF" w:rsidP="00565DFF">
      <w:pPr>
        <w:spacing w:line="240" w:lineRule="auto"/>
        <w:rPr>
          <w:rFonts w:eastAsia="Times New Roman" w:cs="Times New Roman"/>
          <w:szCs w:val="24"/>
          <w:lang w:eastAsia="es-CO"/>
        </w:rPr>
      </w:pPr>
      <w:r w:rsidRPr="00565DFF">
        <w:rPr>
          <w:rFonts w:eastAsia="Times New Roman" w:cs="Times New Roman"/>
          <w:i/>
          <w:iCs/>
          <w:szCs w:val="24"/>
          <w:lang w:eastAsia="es-CO"/>
        </w:rPr>
        <w:t>Daniel Felipe Ortegón Sánchez.</w:t>
      </w:r>
    </w:p>
    <w:p w:rsidR="00961BFA" w:rsidRPr="00565DFF" w:rsidRDefault="00961BFA" w:rsidP="00565DFF">
      <w:pPr>
        <w:spacing w:line="240" w:lineRule="auto"/>
        <w:rPr>
          <w:rFonts w:eastAsia="Times New Roman" w:cs="Times New Roman"/>
          <w:szCs w:val="24"/>
          <w:lang w:eastAsia="es-CO"/>
        </w:rPr>
      </w:pPr>
    </w:p>
    <w:sectPr w:rsidR="00961BFA" w:rsidRPr="00565DF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FF"/>
    <w:rsid w:val="0029351E"/>
    <w:rsid w:val="00565DFF"/>
    <w:rsid w:val="00961BFA"/>
    <w:rsid w:val="00AD6FB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4F7C5-3F24-40F3-90C0-28BDA9F6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63" TargetMode="External"/><Relationship Id="rId11" Type="http://schemas.openxmlformats.org/officeDocument/2006/relationships/theme" Target="theme/theme1.xml"/><Relationship Id="rId5" Type="http://schemas.openxmlformats.org/officeDocument/2006/relationships/hyperlink" Target="https://www.ceta.org.co/html/vista_de_un_articulo.asp?Norma=562" TargetMode="External"/><Relationship Id="rId10" Type="http://schemas.openxmlformats.org/officeDocument/2006/relationships/fontTable" Target="fontTable.xml"/><Relationship Id="rId4" Type="http://schemas.openxmlformats.org/officeDocument/2006/relationships/hyperlink" Target="mailto:espol.gumov@policia.gov.co" TargetMode="External"/><Relationship Id="rId9" Type="http://schemas.openxmlformats.org/officeDocument/2006/relationships/hyperlink" Target="https://www.ceta.org.co/html/vista_de_un_articulo.asp?Norma=5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2017-05-20T18:32:00Z</dcterms:created>
  <dcterms:modified xsi:type="dcterms:W3CDTF">2017-07-26T00:09:00Z</dcterms:modified>
</cp:coreProperties>
</file>