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46" w:rsidRPr="00EE2146" w:rsidRDefault="00EE2146" w:rsidP="00EE2146">
      <w:pPr>
        <w:spacing w:line="240" w:lineRule="auto"/>
        <w:jc w:val="center"/>
        <w:rPr>
          <w:rFonts w:ascii="Arial" w:eastAsia="Times New Roman" w:hAnsi="Arial" w:cs="Arial"/>
          <w:color w:val="000000"/>
          <w:sz w:val="18"/>
          <w:szCs w:val="18"/>
          <w:lang w:eastAsia="es-CO"/>
        </w:rPr>
      </w:pPr>
      <w:r w:rsidRPr="00EE2146">
        <w:rPr>
          <w:rFonts w:ascii="Segoe UI" w:eastAsia="Times New Roman" w:hAnsi="Segoe UI" w:cs="Segoe UI"/>
          <w:b/>
          <w:bCs/>
          <w:color w:val="0000FF"/>
          <w:sz w:val="28"/>
          <w:szCs w:val="28"/>
          <w:lang w:eastAsia="es-CO"/>
        </w:rPr>
        <w:t>OFICIO Nº 007292</w:t>
      </w:r>
    </w:p>
    <w:p w:rsidR="00EE2146" w:rsidRPr="00EE2146" w:rsidRDefault="00EE2146" w:rsidP="00EE2146">
      <w:pPr>
        <w:spacing w:line="240" w:lineRule="auto"/>
        <w:jc w:val="center"/>
        <w:rPr>
          <w:rFonts w:ascii="Arial" w:eastAsia="Times New Roman" w:hAnsi="Arial" w:cs="Arial"/>
          <w:color w:val="000000"/>
          <w:sz w:val="18"/>
          <w:szCs w:val="18"/>
          <w:lang w:eastAsia="es-CO"/>
        </w:rPr>
      </w:pPr>
      <w:r w:rsidRPr="00EE2146">
        <w:rPr>
          <w:rFonts w:ascii="Segoe UI" w:eastAsia="Times New Roman" w:hAnsi="Segoe UI" w:cs="Segoe UI"/>
          <w:b/>
          <w:bCs/>
          <w:color w:val="0000FF"/>
          <w:sz w:val="28"/>
          <w:szCs w:val="28"/>
          <w:lang w:eastAsia="es-CO"/>
        </w:rPr>
        <w:t>31-03-2017</w:t>
      </w:r>
    </w:p>
    <w:p w:rsidR="00EE2146" w:rsidRPr="00EE2146" w:rsidRDefault="00EE2146" w:rsidP="00EE2146">
      <w:pPr>
        <w:spacing w:line="240" w:lineRule="auto"/>
        <w:jc w:val="center"/>
        <w:rPr>
          <w:rFonts w:ascii="Arial" w:eastAsia="Times New Roman" w:hAnsi="Arial" w:cs="Arial"/>
          <w:color w:val="000000"/>
          <w:sz w:val="18"/>
          <w:szCs w:val="18"/>
          <w:lang w:eastAsia="es-CO"/>
        </w:rPr>
      </w:pPr>
      <w:r w:rsidRPr="00EE2146">
        <w:rPr>
          <w:rFonts w:ascii="Segoe UI" w:eastAsia="Times New Roman" w:hAnsi="Segoe UI" w:cs="Segoe UI"/>
          <w:b/>
          <w:bCs/>
          <w:color w:val="0000FF"/>
          <w:sz w:val="28"/>
          <w:szCs w:val="28"/>
          <w:lang w:eastAsia="es-CO"/>
        </w:rPr>
        <w:t>DIAN</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FF"/>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FF"/>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Subdirección de Gestión Normativa y Doctrina</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Bogotá, D.C.</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100208221- 000681</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Señora</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JILET ALEXANDRA RODRÍGUEZ REGALADO</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xml:space="preserve">Calle 150A No 96A-71 Torre 44 </w:t>
      </w:r>
      <w:proofErr w:type="spellStart"/>
      <w:r w:rsidRPr="00EE2146">
        <w:rPr>
          <w:rFonts w:ascii="Segoe UI" w:eastAsia="Times New Roman" w:hAnsi="Segoe UI" w:cs="Segoe UI"/>
          <w:color w:val="000000"/>
          <w:sz w:val="18"/>
          <w:szCs w:val="18"/>
          <w:lang w:eastAsia="es-CO"/>
        </w:rPr>
        <w:t>Apt</w:t>
      </w:r>
      <w:proofErr w:type="spellEnd"/>
      <w:r w:rsidRPr="00EE2146">
        <w:rPr>
          <w:rFonts w:ascii="Segoe UI" w:eastAsia="Times New Roman" w:hAnsi="Segoe UI" w:cs="Segoe UI"/>
          <w:color w:val="000000"/>
          <w:sz w:val="18"/>
          <w:szCs w:val="18"/>
          <w:lang w:eastAsia="es-CO"/>
        </w:rPr>
        <w:t xml:space="preserve"> 802 conjunto </w:t>
      </w:r>
      <w:proofErr w:type="spellStart"/>
      <w:r w:rsidRPr="00EE2146">
        <w:rPr>
          <w:rFonts w:ascii="Segoe UI" w:eastAsia="Times New Roman" w:hAnsi="Segoe UI" w:cs="Segoe UI"/>
          <w:color w:val="000000"/>
          <w:sz w:val="18"/>
          <w:szCs w:val="18"/>
          <w:lang w:eastAsia="es-CO"/>
        </w:rPr>
        <w:t>alcaza</w:t>
      </w:r>
      <w:proofErr w:type="spellEnd"/>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Bogotá D.C.</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proofErr w:type="spellStart"/>
      <w:r w:rsidRPr="00EE2146">
        <w:rPr>
          <w:rFonts w:ascii="Segoe UI" w:eastAsia="Times New Roman" w:hAnsi="Segoe UI" w:cs="Segoe UI"/>
          <w:b/>
          <w:bCs/>
          <w:color w:val="000000"/>
          <w:sz w:val="18"/>
          <w:szCs w:val="18"/>
          <w:lang w:eastAsia="es-CO"/>
        </w:rPr>
        <w:t>Ref</w:t>
      </w:r>
      <w:proofErr w:type="spellEnd"/>
      <w:r w:rsidRPr="00EE2146">
        <w:rPr>
          <w:rFonts w:ascii="Segoe UI" w:eastAsia="Times New Roman" w:hAnsi="Segoe UI" w:cs="Segoe UI"/>
          <w:b/>
          <w:bCs/>
          <w:color w:val="000000"/>
          <w:sz w:val="18"/>
          <w:szCs w:val="18"/>
          <w:lang w:eastAsia="es-CO"/>
        </w:rPr>
        <w:t>: </w:t>
      </w:r>
      <w:r w:rsidRPr="00EE2146">
        <w:rPr>
          <w:rFonts w:ascii="Segoe UI" w:eastAsia="Times New Roman" w:hAnsi="Segoe UI" w:cs="Segoe UI"/>
          <w:color w:val="000000"/>
          <w:sz w:val="18"/>
          <w:szCs w:val="18"/>
          <w:lang w:eastAsia="es-CO"/>
        </w:rPr>
        <w:t>Radicado 100007310 del 16/02/2017</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Tema </w:t>
      </w:r>
      <w:r w:rsidRPr="00EE2146">
        <w:rPr>
          <w:rFonts w:ascii="Segoe UI" w:eastAsia="Times New Roman" w:hAnsi="Segoe UI" w:cs="Segoe UI"/>
          <w:color w:val="000000"/>
          <w:sz w:val="18"/>
          <w:szCs w:val="18"/>
          <w:lang w:eastAsia="es-CO"/>
        </w:rPr>
        <w:t>Impuesto sobre la Renta y Complementarios</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Descriptores </w:t>
      </w:r>
      <w:r w:rsidRPr="00EE2146">
        <w:rPr>
          <w:rFonts w:ascii="Segoe UI" w:eastAsia="Times New Roman" w:hAnsi="Segoe UI" w:cs="Segoe UI"/>
          <w:color w:val="000000"/>
          <w:sz w:val="18"/>
          <w:szCs w:val="18"/>
          <w:lang w:eastAsia="es-CO"/>
        </w:rPr>
        <w:t>Régimen Tributario Especial</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Fuentes formales </w:t>
      </w:r>
      <w:r w:rsidRPr="00EE2146">
        <w:rPr>
          <w:rFonts w:ascii="Segoe UI" w:eastAsia="Times New Roman" w:hAnsi="Segoe UI" w:cs="Segoe UI"/>
          <w:color w:val="000000"/>
          <w:sz w:val="18"/>
          <w:szCs w:val="18"/>
          <w:lang w:eastAsia="es-CO"/>
        </w:rPr>
        <w:t>Artículos </w:t>
      </w:r>
      <w:hyperlink r:id="rId4" w:tooltip="Estatuto Tributario CETA" w:history="1">
        <w:r w:rsidRPr="00EE2146">
          <w:rPr>
            <w:rFonts w:ascii="Segoe UI" w:eastAsia="Times New Roman" w:hAnsi="Segoe UI" w:cs="Segoe UI"/>
            <w:color w:val="0089E1"/>
            <w:sz w:val="18"/>
            <w:szCs w:val="18"/>
            <w:lang w:eastAsia="es-CO"/>
          </w:rPr>
          <w:t>358</w:t>
        </w:r>
      </w:hyperlink>
      <w:r w:rsidRPr="00EE2146">
        <w:rPr>
          <w:rFonts w:ascii="Segoe UI" w:eastAsia="Times New Roman" w:hAnsi="Segoe UI" w:cs="Segoe UI"/>
          <w:color w:val="000000"/>
          <w:sz w:val="18"/>
          <w:szCs w:val="18"/>
          <w:lang w:eastAsia="es-CO"/>
        </w:rPr>
        <w:t> y </w:t>
      </w:r>
      <w:hyperlink r:id="rId5" w:tooltip="Estatuto Tributario CETA" w:history="1">
        <w:r w:rsidRPr="00EE2146">
          <w:rPr>
            <w:rFonts w:ascii="Segoe UI" w:eastAsia="Times New Roman" w:hAnsi="Segoe UI" w:cs="Segoe UI"/>
            <w:color w:val="0089E1"/>
            <w:sz w:val="18"/>
            <w:szCs w:val="18"/>
            <w:lang w:eastAsia="es-CO"/>
          </w:rPr>
          <w:t>360</w:t>
        </w:r>
      </w:hyperlink>
      <w:r w:rsidRPr="00EE2146">
        <w:rPr>
          <w:rFonts w:ascii="Segoe UI" w:eastAsia="Times New Roman" w:hAnsi="Segoe UI" w:cs="Segoe UI"/>
          <w:color w:val="000000"/>
          <w:sz w:val="18"/>
          <w:szCs w:val="18"/>
          <w:lang w:eastAsia="es-CO"/>
        </w:rPr>
        <w:t> del Estatuto Tributario; Artículos 140 a 165 de la Ley 1819 de 2016</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A través del escrito de la referencia la peticionaria consulta si la reunión de aprobación del excedente del año gravable 2016 debe llevarse a cabo el 31 de marzo de 2017 de conformidad con lo señalado en el </w:t>
      </w:r>
      <w:hyperlink r:id="rId6" w:tooltip="Estatuto Tributario CETA" w:history="1">
        <w:r w:rsidRPr="00EE2146">
          <w:rPr>
            <w:rFonts w:ascii="Segoe UI" w:eastAsia="Times New Roman" w:hAnsi="Segoe UI" w:cs="Segoe UI"/>
            <w:color w:val="0089E1"/>
            <w:sz w:val="18"/>
            <w:szCs w:val="18"/>
            <w:lang w:eastAsia="es-CO"/>
          </w:rPr>
          <w:t>artículo 360</w:t>
        </w:r>
      </w:hyperlink>
      <w:r w:rsidRPr="00EE2146">
        <w:rPr>
          <w:rFonts w:ascii="Segoe UI" w:eastAsia="Times New Roman" w:hAnsi="Segoe UI" w:cs="Segoe UI"/>
          <w:color w:val="000000"/>
          <w:sz w:val="18"/>
          <w:szCs w:val="18"/>
          <w:lang w:eastAsia="es-CO"/>
        </w:rPr>
        <w:t> del Estatuto Tributario, modificado por la Ley 1819 de 2016, o dicha aprobación debe sustituirse hasta antes de la presentación de la declaración de renta del año gravable 2016.</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Sobre el particular se considera lo siguiente:</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El </w:t>
      </w:r>
      <w:hyperlink r:id="rId7" w:tooltip="Estatuto Tributario CETA" w:history="1">
        <w:r w:rsidRPr="00EE2146">
          <w:rPr>
            <w:rFonts w:ascii="Segoe UI" w:eastAsia="Times New Roman" w:hAnsi="Segoe UI" w:cs="Segoe UI"/>
            <w:color w:val="0089E1"/>
            <w:sz w:val="18"/>
            <w:szCs w:val="18"/>
            <w:lang w:eastAsia="es-CO"/>
          </w:rPr>
          <w:t>artículo 358</w:t>
        </w:r>
      </w:hyperlink>
      <w:r w:rsidRPr="00EE2146">
        <w:rPr>
          <w:rFonts w:ascii="Segoe UI" w:eastAsia="Times New Roman" w:hAnsi="Segoe UI" w:cs="Segoe UI"/>
          <w:color w:val="000000"/>
          <w:sz w:val="18"/>
          <w:szCs w:val="18"/>
          <w:lang w:eastAsia="es-CO"/>
        </w:rPr>
        <w:t> del Estatuto Tributario establece que el beneficio neto o excedente determinado de conformidad con el </w:t>
      </w:r>
      <w:hyperlink r:id="rId8" w:tooltip="Estatuto Tributario CETA" w:history="1">
        <w:r w:rsidRPr="00EE2146">
          <w:rPr>
            <w:rFonts w:ascii="Segoe UI" w:eastAsia="Times New Roman" w:hAnsi="Segoe UI" w:cs="Segoe UI"/>
            <w:color w:val="0089E1"/>
            <w:sz w:val="18"/>
            <w:szCs w:val="18"/>
            <w:lang w:eastAsia="es-CO"/>
          </w:rPr>
          <w:t>artículo 357</w:t>
        </w:r>
      </w:hyperlink>
      <w:r w:rsidRPr="00EE2146">
        <w:rPr>
          <w:rFonts w:ascii="Segoe UI" w:eastAsia="Times New Roman" w:hAnsi="Segoe UI" w:cs="Segoe UI"/>
          <w:color w:val="000000"/>
          <w:sz w:val="18"/>
          <w:szCs w:val="18"/>
          <w:lang w:eastAsia="es-CO"/>
        </w:rPr>
        <w:t> ibídem tendrá el carácter de exento, cuando se destine directa o indirectamente, en el año siguiente a aquel en el cual se obtuvo, a programas que desarrollen el objeto social y la actividad meritoria de la entidad y la parte de este beneficio que no se invierta en los programas que desarrollen su objeto social, tendrá el carácter de gravable en el año en que esto ocurra.</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En concordancia con lo anterior el </w:t>
      </w:r>
      <w:hyperlink r:id="rId9" w:tooltip="Estatuto Tributario CETA" w:history="1">
        <w:r w:rsidRPr="00EE2146">
          <w:rPr>
            <w:rFonts w:ascii="Segoe UI" w:eastAsia="Times New Roman" w:hAnsi="Segoe UI" w:cs="Segoe UI"/>
            <w:color w:val="0089E1"/>
            <w:sz w:val="18"/>
            <w:szCs w:val="18"/>
            <w:lang w:eastAsia="es-CO"/>
          </w:rPr>
          <w:t>artículo 360</w:t>
        </w:r>
      </w:hyperlink>
      <w:r w:rsidRPr="00EE2146">
        <w:rPr>
          <w:rFonts w:ascii="Segoe UI" w:eastAsia="Times New Roman" w:hAnsi="Segoe UI" w:cs="Segoe UI"/>
          <w:color w:val="000000"/>
          <w:sz w:val="18"/>
          <w:szCs w:val="18"/>
          <w:lang w:eastAsia="es-CO"/>
        </w:rPr>
        <w:t> del Estatuto Tributario, modificado por el artículo 153 de la Ley 1819 de 2016, respecto de los plazos adicionales para invertir, en aquellos casos que así lo requieran o se trate de asignaciones permanentes:</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 </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b/>
          <w:bCs/>
          <w:i/>
          <w:iCs/>
          <w:color w:val="000000"/>
          <w:sz w:val="18"/>
          <w:szCs w:val="18"/>
          <w:lang w:eastAsia="es-CO"/>
        </w:rPr>
        <w:t>ARTÍCULO 153.</w:t>
      </w:r>
      <w:r w:rsidRPr="00EE2146">
        <w:rPr>
          <w:rFonts w:ascii="Segoe UI" w:eastAsia="Times New Roman" w:hAnsi="Segoe UI" w:cs="Segoe UI"/>
          <w:i/>
          <w:iCs/>
          <w:color w:val="000000"/>
          <w:sz w:val="18"/>
          <w:szCs w:val="18"/>
          <w:lang w:eastAsia="es-CO"/>
        </w:rPr>
        <w:t> Modifíquese el </w:t>
      </w:r>
      <w:hyperlink r:id="rId10" w:tooltip="Estatuto Tributario CETA" w:history="1">
        <w:r w:rsidRPr="00EE2146">
          <w:rPr>
            <w:rFonts w:ascii="Segoe UI" w:eastAsia="Times New Roman" w:hAnsi="Segoe UI" w:cs="Segoe UI"/>
            <w:i/>
            <w:iCs/>
            <w:color w:val="0089E1"/>
            <w:sz w:val="18"/>
            <w:szCs w:val="18"/>
            <w:lang w:eastAsia="es-CO"/>
          </w:rPr>
          <w:t>artículo 360</w:t>
        </w:r>
      </w:hyperlink>
      <w:r w:rsidRPr="00EE2146">
        <w:rPr>
          <w:rFonts w:ascii="Segoe UI" w:eastAsia="Times New Roman" w:hAnsi="Segoe UI" w:cs="Segoe UI"/>
          <w:i/>
          <w:iCs/>
          <w:color w:val="000000"/>
          <w:sz w:val="18"/>
          <w:szCs w:val="18"/>
          <w:lang w:eastAsia="es-CO"/>
        </w:rPr>
        <w:t> del Estatuto Tributario en cual quedará así:</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 </w:t>
      </w:r>
    </w:p>
    <w:p w:rsidR="00EE2146" w:rsidRPr="00EE2146" w:rsidRDefault="00EE2146" w:rsidP="00EE2146">
      <w:pPr>
        <w:spacing w:line="240" w:lineRule="auto"/>
        <w:ind w:left="180"/>
        <w:rPr>
          <w:rFonts w:ascii="Arial" w:eastAsia="Times New Roman" w:hAnsi="Arial" w:cs="Arial"/>
          <w:color w:val="000000"/>
          <w:sz w:val="18"/>
          <w:szCs w:val="18"/>
          <w:lang w:eastAsia="es-CO"/>
        </w:rPr>
      </w:pPr>
      <w:hyperlink r:id="rId11" w:tooltip="Estatuto Tributario CETA" w:history="1">
        <w:r w:rsidRPr="00EE2146">
          <w:rPr>
            <w:rFonts w:ascii="Segoe UI" w:eastAsia="Times New Roman" w:hAnsi="Segoe UI" w:cs="Segoe UI"/>
            <w:b/>
            <w:bCs/>
            <w:i/>
            <w:iCs/>
            <w:color w:val="0089E1"/>
            <w:sz w:val="18"/>
            <w:szCs w:val="18"/>
            <w:lang w:eastAsia="es-CO"/>
          </w:rPr>
          <w:t>Artículo 360</w:t>
        </w:r>
      </w:hyperlink>
      <w:r w:rsidRPr="00EE2146">
        <w:rPr>
          <w:rFonts w:ascii="Segoe UI" w:eastAsia="Times New Roman" w:hAnsi="Segoe UI" w:cs="Segoe UI"/>
          <w:b/>
          <w:bCs/>
          <w:i/>
          <w:iCs/>
          <w:color w:val="000000"/>
          <w:sz w:val="18"/>
          <w:szCs w:val="18"/>
          <w:lang w:eastAsia="es-CO"/>
        </w:rPr>
        <w:t>. Autorización para utilizar plazos adicionales para invertir.</w:t>
      </w:r>
      <w:r w:rsidRPr="00EE2146">
        <w:rPr>
          <w:rFonts w:ascii="Segoe UI" w:eastAsia="Times New Roman" w:hAnsi="Segoe UI" w:cs="Segoe UI"/>
          <w:i/>
          <w:iCs/>
          <w:color w:val="000000"/>
          <w:sz w:val="18"/>
          <w:szCs w:val="18"/>
          <w:lang w:eastAsia="es-CO"/>
        </w:rPr>
        <w:t> Cuando se trate de programas cuya ejecución requiera plazos adicionales al contemplado en el </w:t>
      </w:r>
      <w:hyperlink r:id="rId12" w:tooltip="Estatuto Tributario CETA" w:history="1">
        <w:r w:rsidRPr="00EE2146">
          <w:rPr>
            <w:rFonts w:ascii="Segoe UI" w:eastAsia="Times New Roman" w:hAnsi="Segoe UI" w:cs="Segoe UI"/>
            <w:i/>
            <w:iCs/>
            <w:color w:val="0089E1"/>
            <w:sz w:val="18"/>
            <w:szCs w:val="18"/>
            <w:lang w:eastAsia="es-CO"/>
          </w:rPr>
          <w:t>artículo 358</w:t>
        </w:r>
      </w:hyperlink>
      <w:r w:rsidRPr="00EE2146">
        <w:rPr>
          <w:rFonts w:ascii="Segoe UI" w:eastAsia="Times New Roman" w:hAnsi="Segoe UI" w:cs="Segoe UI"/>
          <w:i/>
          <w:iCs/>
          <w:color w:val="000000"/>
          <w:sz w:val="18"/>
          <w:szCs w:val="18"/>
          <w:lang w:eastAsia="es-CO"/>
        </w:rPr>
        <w:t>, o se trate de asignaciones permanentes, </w:t>
      </w:r>
      <w:r w:rsidRPr="00EE2146">
        <w:rPr>
          <w:rFonts w:ascii="Segoe UI" w:eastAsia="Times New Roman" w:hAnsi="Segoe UI" w:cs="Segoe UI"/>
          <w:i/>
          <w:iCs/>
          <w:color w:val="000000"/>
          <w:sz w:val="18"/>
          <w:szCs w:val="18"/>
          <w:u w:val="single"/>
          <w:lang w:eastAsia="es-CO"/>
        </w:rPr>
        <w:t>la entidad deberá contar con la aprobación de su Asamblea General o del órgano de dirección que haga sus veces.</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 </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El órgano de dirección de las entidades que desarrollen las actividades meritorias definidas en el </w:t>
      </w:r>
      <w:hyperlink r:id="rId13" w:tooltip="Estatuto Tributario CETA" w:history="1">
        <w:r w:rsidRPr="00EE2146">
          <w:rPr>
            <w:rFonts w:ascii="Segoe UI" w:eastAsia="Times New Roman" w:hAnsi="Segoe UI" w:cs="Segoe UI"/>
            <w:i/>
            <w:iCs/>
            <w:color w:val="0089E1"/>
            <w:sz w:val="18"/>
            <w:szCs w:val="18"/>
            <w:lang w:eastAsia="es-CO"/>
          </w:rPr>
          <w:t>artículo 359</w:t>
        </w:r>
      </w:hyperlink>
      <w:r w:rsidRPr="00EE2146">
        <w:rPr>
          <w:rFonts w:ascii="Segoe UI" w:eastAsia="Times New Roman" w:hAnsi="Segoe UI" w:cs="Segoe UI"/>
          <w:i/>
          <w:iCs/>
          <w:color w:val="000000"/>
          <w:sz w:val="18"/>
          <w:szCs w:val="18"/>
          <w:lang w:eastAsia="es-CO"/>
        </w:rPr>
        <w:t>, debe aprobar los excedentes generados, y dejar constancia en el acta de la destinación de dichos excedentes, de los plazos que se definan para tal efecto y del porcentaje que se autorice para incrementar su patrimonio.</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 </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u w:val="single"/>
          <w:lang w:eastAsia="es-CO"/>
        </w:rPr>
        <w:t>La reunión del órgano de dirección debe celebrarse con anterioridad al 31 de marzo de cada año.</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 </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i/>
          <w:iCs/>
          <w:color w:val="000000"/>
          <w:sz w:val="18"/>
          <w:szCs w:val="18"/>
          <w:lang w:eastAsia="es-CO"/>
        </w:rPr>
        <w:t> </w:t>
      </w:r>
    </w:p>
    <w:p w:rsidR="00EE2146" w:rsidRPr="00EE2146" w:rsidRDefault="00EE2146" w:rsidP="00EE2146">
      <w:pPr>
        <w:spacing w:line="240" w:lineRule="auto"/>
        <w:ind w:left="180"/>
        <w:rPr>
          <w:rFonts w:ascii="Arial" w:eastAsia="Times New Roman" w:hAnsi="Arial" w:cs="Arial"/>
          <w:color w:val="000000"/>
          <w:sz w:val="18"/>
          <w:szCs w:val="18"/>
          <w:lang w:eastAsia="es-CO"/>
        </w:rPr>
      </w:pPr>
      <w:r w:rsidRPr="00EE2146">
        <w:rPr>
          <w:rFonts w:ascii="Segoe UI" w:eastAsia="Times New Roman" w:hAnsi="Segoe UI" w:cs="Segoe UI"/>
          <w:b/>
          <w:bCs/>
          <w:i/>
          <w:iCs/>
          <w:color w:val="000000"/>
          <w:sz w:val="18"/>
          <w:szCs w:val="18"/>
          <w:lang w:eastAsia="es-CO"/>
        </w:rPr>
        <w:lastRenderedPageBreak/>
        <w:t>PARÁGRAFO.</w:t>
      </w:r>
      <w:r w:rsidRPr="00EE2146">
        <w:rPr>
          <w:rFonts w:ascii="Segoe UI" w:eastAsia="Times New Roman" w:hAnsi="Segoe UI" w:cs="Segoe UI"/>
          <w:i/>
          <w:iCs/>
          <w:color w:val="000000"/>
          <w:sz w:val="18"/>
          <w:szCs w:val="18"/>
          <w:lang w:eastAsia="es-CO"/>
        </w:rPr>
        <w:t> En caso que la entidad sin ánimo de lucro requiera realizar asignaciones permanentes que superen el plazo de los cinco (5) años, deberá realizar una solicitud en tal respecto ante la dependencia que el Director de Impuestos y Aduanas Nacionales mediante resolución. </w:t>
      </w:r>
      <w:r w:rsidRPr="00EE2146">
        <w:rPr>
          <w:rFonts w:ascii="Segoe UI" w:eastAsia="Times New Roman" w:hAnsi="Segoe UI" w:cs="Segoe UI"/>
          <w:color w:val="000000"/>
          <w:sz w:val="18"/>
          <w:szCs w:val="18"/>
          <w:lang w:eastAsia="es-CO"/>
        </w:rPr>
        <w:t>(Subrayado fuera del texto)</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El </w:t>
      </w:r>
      <w:hyperlink r:id="rId14" w:tooltip="Estatuto Tributario CETA" w:history="1">
        <w:r w:rsidRPr="00EE2146">
          <w:rPr>
            <w:rFonts w:ascii="Segoe UI" w:eastAsia="Times New Roman" w:hAnsi="Segoe UI" w:cs="Segoe UI"/>
            <w:color w:val="0089E1"/>
            <w:sz w:val="18"/>
            <w:szCs w:val="18"/>
            <w:lang w:eastAsia="es-CO"/>
          </w:rPr>
          <w:t>Artículo 360</w:t>
        </w:r>
      </w:hyperlink>
      <w:r w:rsidRPr="00EE2146">
        <w:rPr>
          <w:rFonts w:ascii="Segoe UI" w:eastAsia="Times New Roman" w:hAnsi="Segoe UI" w:cs="Segoe UI"/>
          <w:color w:val="000000"/>
          <w:sz w:val="18"/>
          <w:szCs w:val="18"/>
          <w:lang w:eastAsia="es-CO"/>
        </w:rPr>
        <w:t> del Estatuto Tributario en su primer inciso ordena que cuando se trata de programas cuya ejecución requiere plazos superiores al año siguiente a aquel en el cual se obtuvo el beneficio neto o excedente, o se trate de asignaciones permanentes, la Entidad deberá contar con la aprobación de su Asamblea General o del órgano Directivo que haga sus veces, a más tardar el 31 de marzo de cada año.</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Así las cosas, el plazo máximo del 31 de marzo de 2017, no se refiere a la reunión de la Asamblea General para aprobar el Beneficio neto o Excedente del año gravable 2016, objeto de su consulta.</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bookmarkStart w:id="0" w:name="_GoBack"/>
      <w:bookmarkEnd w:id="0"/>
      <w:r w:rsidRPr="00EE2146">
        <w:rPr>
          <w:rFonts w:ascii="Segoe UI" w:eastAsia="Times New Roman" w:hAnsi="Segoe UI" w:cs="Segoe UI"/>
          <w:color w:val="000000"/>
          <w:sz w:val="18"/>
          <w:szCs w:val="18"/>
          <w:lang w:eastAsia="es-CO"/>
        </w:rPr>
        <w:t>Atentamente,</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 </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b/>
          <w:bCs/>
          <w:color w:val="000000"/>
          <w:sz w:val="18"/>
          <w:szCs w:val="18"/>
          <w:lang w:eastAsia="es-CO"/>
        </w:rPr>
        <w:t>PEDRO PABLO CONTRERAS CAMARGO</w:t>
      </w:r>
    </w:p>
    <w:p w:rsidR="00EE2146" w:rsidRPr="00EE2146" w:rsidRDefault="00EE2146" w:rsidP="00EE2146">
      <w:pPr>
        <w:spacing w:line="240" w:lineRule="auto"/>
        <w:rPr>
          <w:rFonts w:ascii="Arial" w:eastAsia="Times New Roman" w:hAnsi="Arial" w:cs="Arial"/>
          <w:color w:val="000000"/>
          <w:sz w:val="18"/>
          <w:szCs w:val="18"/>
          <w:lang w:eastAsia="es-CO"/>
        </w:rPr>
      </w:pPr>
      <w:r w:rsidRPr="00EE2146">
        <w:rPr>
          <w:rFonts w:ascii="Segoe UI" w:eastAsia="Times New Roman" w:hAnsi="Segoe UI" w:cs="Segoe UI"/>
          <w:color w:val="000000"/>
          <w:sz w:val="18"/>
          <w:szCs w:val="18"/>
          <w:lang w:eastAsia="es-CO"/>
        </w:rPr>
        <w:t>Subdirector de Gestión Normativa y Doctrina</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46"/>
    <w:rsid w:val="0029351E"/>
    <w:rsid w:val="00961BFA"/>
    <w:rsid w:val="00B94BED"/>
    <w:rsid w:val="00E3651C"/>
    <w:rsid w:val="00EE2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6608E-6AC7-4D0F-AC39-E7714BB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37" TargetMode="External"/><Relationship Id="rId13" Type="http://schemas.openxmlformats.org/officeDocument/2006/relationships/hyperlink" Target="https://www.ceta.org.co/html/vista_de_un_articulo.asp?Norma=43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38" TargetMode="External"/><Relationship Id="rId12" Type="http://schemas.openxmlformats.org/officeDocument/2006/relationships/hyperlink" Target="https://www.ceta.org.co/html/vista_de_un_articulo.asp?Norma=43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40" TargetMode="External"/><Relationship Id="rId11" Type="http://schemas.openxmlformats.org/officeDocument/2006/relationships/hyperlink" Target="https://www.ceta.org.co/html/vista_de_un_articulo.asp?Norma=440" TargetMode="External"/><Relationship Id="rId5" Type="http://schemas.openxmlformats.org/officeDocument/2006/relationships/hyperlink" Target="https://www.ceta.org.co/html/vista_de_un_articulo.asp?Norma=440"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40" TargetMode="External"/><Relationship Id="rId4" Type="http://schemas.openxmlformats.org/officeDocument/2006/relationships/hyperlink" Target="https://www.ceta.org.co/html/vista_de_un_articulo.asp?Norma=438" TargetMode="External"/><Relationship Id="rId9" Type="http://schemas.openxmlformats.org/officeDocument/2006/relationships/hyperlink" Target="https://www.ceta.org.co/html/vista_de_un_articulo.asp?Norma=440" TargetMode="External"/><Relationship Id="rId14" Type="http://schemas.openxmlformats.org/officeDocument/2006/relationships/hyperlink" Target="https://www.ceta.org.co/html/vista_de_un_articulo.asp?Norma=4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2017-09-07T23:42:00Z</dcterms:created>
  <dcterms:modified xsi:type="dcterms:W3CDTF">2017-09-07T23:43:00Z</dcterms:modified>
</cp:coreProperties>
</file>