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2B" w:rsidRDefault="00744E2B" w:rsidP="00744E2B">
      <w:pPr>
        <w:spacing w:before="100" w:beforeAutospacing="1" w:after="100" w:afterAutospacing="1"/>
        <w:jc w:val="center"/>
        <w:rPr>
          <w:rFonts w:eastAsiaTheme="minorHAnsi"/>
          <w:b/>
          <w:lang w:val="es-CO"/>
        </w:rPr>
      </w:pPr>
      <w:r w:rsidRPr="00744E2B">
        <w:rPr>
          <w:rFonts w:eastAsiaTheme="minorHAnsi"/>
          <w:b/>
          <w:lang w:val="es-CO"/>
        </w:rPr>
        <w:t>DIRECCIÓN DE IMPUESTOS Y ADUANAS NACIONALES</w:t>
      </w:r>
    </w:p>
    <w:p w:rsidR="00744E2B" w:rsidRPr="00744E2B" w:rsidRDefault="00744E2B" w:rsidP="00744E2B">
      <w:pPr>
        <w:spacing w:before="100" w:beforeAutospacing="1" w:after="100" w:afterAutospacing="1"/>
        <w:jc w:val="center"/>
        <w:rPr>
          <w:rFonts w:eastAsiaTheme="minorHAnsi"/>
          <w:b/>
          <w:lang w:val="es-CO"/>
        </w:rPr>
      </w:pPr>
      <w:r w:rsidRPr="00744E2B">
        <w:rPr>
          <w:rFonts w:eastAsiaTheme="minorHAnsi"/>
          <w:b/>
          <w:lang w:val="es-CO"/>
        </w:rPr>
        <w:t>CONCEPTO 05622 DEL 15 DE MARZO DE 2017</w:t>
      </w:r>
    </w:p>
    <w:p w:rsidR="00744E2B" w:rsidRDefault="00744E2B" w:rsidP="00744E2B">
      <w:pPr>
        <w:spacing w:before="100" w:beforeAutospacing="1" w:after="100" w:afterAutospacing="1"/>
        <w:contextualSpacing/>
        <w:jc w:val="center"/>
        <w:rPr>
          <w:rFonts w:eastAsiaTheme="minorHAnsi"/>
          <w:lang w:val="es-CO"/>
        </w:rPr>
      </w:pPr>
    </w:p>
    <w:p w:rsidR="00744E2B" w:rsidRDefault="00744E2B" w:rsidP="00744E2B">
      <w:pPr>
        <w:spacing w:before="100" w:beforeAutospacing="1" w:after="100" w:afterAutospacing="1"/>
        <w:contextualSpacing/>
        <w:jc w:val="both"/>
        <w:rPr>
          <w:rFonts w:eastAsiaTheme="minorHAnsi"/>
          <w:lang w:val="es-CO"/>
        </w:rPr>
      </w:pPr>
    </w:p>
    <w:p w:rsidR="00744E2B" w:rsidRDefault="00744E2B" w:rsidP="00744E2B">
      <w:pPr>
        <w:spacing w:before="100" w:beforeAutospacing="1" w:after="100" w:afterAutospacing="1"/>
        <w:contextualSpacing/>
        <w:jc w:val="both"/>
        <w:rPr>
          <w:rFonts w:eastAsiaTheme="minorHAnsi"/>
          <w:lang w:val="es-CO"/>
        </w:rPr>
      </w:pPr>
    </w:p>
    <w:p w:rsidR="00744E2B" w:rsidRPr="00744E2B" w:rsidRDefault="00744E2B" w:rsidP="00744E2B">
      <w:pPr>
        <w:spacing w:before="100" w:beforeAutospacing="1" w:after="100" w:afterAutospacing="1"/>
        <w:contextualSpacing/>
        <w:jc w:val="both"/>
        <w:rPr>
          <w:rFonts w:eastAsiaTheme="minorHAnsi"/>
          <w:lang w:val="es-CO"/>
        </w:rPr>
      </w:pPr>
      <w:r w:rsidRPr="00744E2B">
        <w:rPr>
          <w:rFonts w:eastAsiaTheme="minorHAnsi"/>
          <w:lang w:val="es-CO"/>
        </w:rPr>
        <w:t xml:space="preserve">Ref: Radicado 100007495 del 20/02/2017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Tema Descriptores Fuentes formales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Retención en la fuente</w:t>
      </w:r>
    </w:p>
    <w:p w:rsidR="00744E2B" w:rsidRPr="00744E2B" w:rsidRDefault="00744E2B" w:rsidP="00744E2B">
      <w:pPr>
        <w:spacing w:before="100" w:beforeAutospacing="1" w:after="100" w:afterAutospacing="1"/>
        <w:jc w:val="both"/>
        <w:rPr>
          <w:rFonts w:eastAsiaTheme="minorHAnsi"/>
          <w:b/>
          <w:lang w:val="es-CO"/>
        </w:rPr>
      </w:pPr>
      <w:r w:rsidRPr="00744E2B">
        <w:rPr>
          <w:rFonts w:eastAsiaTheme="minorHAnsi"/>
          <w:b/>
          <w:lang w:val="es-CO"/>
        </w:rPr>
        <w:t>AUTORRETENEDORES</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Artículo 365 del Estatuto Tributario</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Artículos 26, 125, de la Ley 1819 de 2016 Artículos 1.2.6.7 y 1.2.6.8 del Decreto 1625 de 2016 Decreto 2201 de 2016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Mediante el radicado de la referencia consulta si una empresa sólo debe aplicar la autorretención de que trata el Decreto 2201 de 2016, cuando se superen las cuantías mínimas para pagos por conceptos de venta de bienes y prestación de servicios.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Mediante el Decreto 2201 de 2016 se adiciona el Título 6, Parte 11, del Libro 1 al Decreto 1625 de 2016, Decreto Único Reglamentario en Materia Tributaria, mediante el cual se establece una autorretención a título del impuesto sobre la renta y complementario a que se refiere el parágrafo segundo del artículo 365 del Estatuto Tributario adicionado por el artículo 125 de la Ley 1819 de 2016, a cargo de sociedades, personas jurídicas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En ese sentido el artículo 1.2.6.7 adicionado indica la forma para calcular las bases de esta autorretención, artículo respecto del cual se destaca que estas tomarán en cuenta las existentes en renta, permitiendo su depuración, en los siguientes términos: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Artículo 1.2.6.7. Bases para calcular la autorretención a título de impuesto sobre la renta y complementario de que trata el artículo 1.2.6.6. Las bases establecidas en las normas vigentes para calcular la retención del impuesto sobre la renta y complementario serán aplicables igualmente para practicar la autorretención a título de este impuesto de que trata el artículo anterior.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No obstante lo anterior, en los siguientes casos, la base de esta autorretención se efectuará de conformidad con las siguientes reglas: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lastRenderedPageBreak/>
        <w:t xml:space="preserve">Por su parte la tarifa aplicable se da en función de la actividad </w:t>
      </w:r>
      <w:r w:rsidR="00E42DDB" w:rsidRPr="00744E2B">
        <w:rPr>
          <w:rFonts w:eastAsiaTheme="minorHAnsi"/>
          <w:lang w:val="es-CO"/>
        </w:rPr>
        <w:t>económica</w:t>
      </w:r>
      <w:r w:rsidRPr="00744E2B">
        <w:rPr>
          <w:rFonts w:eastAsiaTheme="minorHAnsi"/>
          <w:lang w:val="es-CO"/>
        </w:rPr>
        <w:t xml:space="preserve"> principal del responsable de esta autorretención, respecto de cada pago o abono en cuenta que se le ha realizado, veamos: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Artículo 1.2.6.8. Autorretenedores y Tarifas. A partir del 1o de enero de 2017, para efectos del recaudo y administración de la autorretención a título de impuesto sobre la renta y complementario de que trata el artículo 1.2.6.6., todos los sujetos pasivos allí mencionados tendrán la calidad de autorretenedores.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Para tal efecto, esta autorretención a título de impuesto sobre la renta y complementario se liquidará sobre cada pago o abono en cuenta realizado al contribuyente sujeto pasivo de este tributo, de acuerdo con las siguientes actividades económicas y a las siguientes tarifas: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De las normas anteriormente citadas este Despacho interpreta que, tratándose de la base, cuando se indica que las bases para calcular la autorretención tomarán en cuenta las existentes en renta, lo que se reconoce es la posibilidad que esta se efectúe sobre el ingreso gravable para el sujeto pasivo, permitiendo la depuración de la base.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Igualmente, respecto de la tarifa se entiende que el artículo 1.2.6.8 proporciona un elemento adicional a la hora de aplicar la autorretención además de la base y es la tarifa, la cual se liquidará sobre cada pago o abono en cuenta realizado al contribuyente sujeto pasivo de este tributo, de acuerdo con las actividades económicas y a los porcentajes allí establecidos.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Sin embargo, frente a las cuantías mínimas a partir de las cuales deba hacerse la retención, que están previstas para el impuesto sobre la renta y complementarios, el decreto en mención, no hizo expresa consagración.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En este punto es preciso indicar que no se puede perder de vista la diferencia entre la base de retención y la cuantía o valor mínimo a partir del cual deba hacerse la autorretención.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En efecto, en diversa doctrina este Despacho ha señalado que es la magnitud o la medición del hecho gravado, a la cual se le aplica la tarifa para determinar la cuantía de la obligación tributaria; respecto a la cuantía mínima se ha indicado que esta noción corresponde a aquellos valores sobre los cuales no se aplica retención la cual debe estar señalada. </w:t>
      </w:r>
    </w:p>
    <w:p w:rsidR="00744E2B" w:rsidRPr="00602F10" w:rsidRDefault="00744E2B" w:rsidP="00744E2B">
      <w:pPr>
        <w:spacing w:before="100" w:beforeAutospacing="1" w:after="100" w:afterAutospacing="1"/>
        <w:jc w:val="both"/>
        <w:rPr>
          <w:rFonts w:eastAsiaTheme="minorHAnsi"/>
          <w:b/>
          <w:lang w:val="es-CO"/>
        </w:rPr>
      </w:pPr>
      <w:r w:rsidRPr="00602F10">
        <w:rPr>
          <w:rFonts w:eastAsiaTheme="minorHAnsi"/>
          <w:b/>
          <w:lang w:val="es-CO"/>
        </w:rPr>
        <w:t xml:space="preserve">Así las cosas, para el caso materia de análisis si bien la norma remite a las bases establecidas en las normas vigentes para calcular la retención del impuesto sobre la renta y complementario, no se consagra en dicha disposición lo relacionado con cuantías mínimas lo que permite concluir que para efectos de esta autorretención no existen y en consecuencia esta procede sobre el cien por ciento (100%) del pago o abono en cuenta efectuado al sujeto pasivo. </w:t>
      </w:r>
    </w:p>
    <w:p w:rsid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En los anteriores términos se resuelve su consulta. </w:t>
      </w:r>
    </w:p>
    <w:p w:rsidR="00744E2B" w:rsidRDefault="00744E2B" w:rsidP="00744E2B">
      <w:pPr>
        <w:spacing w:before="100" w:beforeAutospacing="1" w:after="100" w:afterAutospacing="1"/>
        <w:jc w:val="both"/>
        <w:rPr>
          <w:rFonts w:eastAsiaTheme="minorHAnsi"/>
          <w:lang w:val="es-CO"/>
        </w:rPr>
      </w:pPr>
      <w:bookmarkStart w:id="0" w:name="_GoBack"/>
      <w:bookmarkEnd w:id="0"/>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lastRenderedPageBreak/>
        <w:t xml:space="preserve">Atentamente, </w:t>
      </w:r>
    </w:p>
    <w:p w:rsidR="00744E2B" w:rsidRP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PEDRO PABLO CONTRERAS CAMARGO </w:t>
      </w:r>
    </w:p>
    <w:p w:rsidR="00744E2B" w:rsidRDefault="00744E2B" w:rsidP="00744E2B">
      <w:pPr>
        <w:spacing w:before="100" w:beforeAutospacing="1" w:after="100" w:afterAutospacing="1"/>
        <w:jc w:val="both"/>
        <w:rPr>
          <w:rFonts w:eastAsiaTheme="minorHAnsi"/>
          <w:lang w:val="es-CO"/>
        </w:rPr>
      </w:pPr>
      <w:r w:rsidRPr="00744E2B">
        <w:rPr>
          <w:rFonts w:eastAsiaTheme="minorHAnsi"/>
          <w:lang w:val="es-CO"/>
        </w:rPr>
        <w:t xml:space="preserve">Subdirector de Gestión Normativa y Doctrina </w:t>
      </w:r>
    </w:p>
    <w:p w:rsidR="00E42DDB" w:rsidRPr="00744E2B" w:rsidRDefault="00E42DDB" w:rsidP="00744E2B">
      <w:pPr>
        <w:spacing w:before="100" w:beforeAutospacing="1" w:after="100" w:afterAutospacing="1"/>
        <w:jc w:val="both"/>
        <w:rPr>
          <w:rFonts w:eastAsiaTheme="minorHAnsi"/>
          <w:lang w:val="es-CO"/>
        </w:rPr>
      </w:pPr>
      <w:r>
        <w:rPr>
          <w:rFonts w:eastAsiaTheme="minorHAnsi"/>
          <w:lang w:val="es-CO"/>
        </w:rPr>
        <w:t>______________________________________________________________________________</w:t>
      </w:r>
    </w:p>
    <w:p w:rsidR="00744E2B" w:rsidRPr="00744E2B" w:rsidRDefault="00744E2B" w:rsidP="00744E2B">
      <w:pPr>
        <w:jc w:val="both"/>
      </w:pPr>
    </w:p>
    <w:p w:rsidR="00961BFA" w:rsidRPr="00744E2B" w:rsidRDefault="00961BFA" w:rsidP="00744E2B">
      <w:pPr>
        <w:jc w:val="both"/>
      </w:pPr>
    </w:p>
    <w:sectPr w:rsidR="00961BFA" w:rsidRPr="00744E2B" w:rsidSect="00744E2B">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B8" w:rsidRDefault="00CB38B8" w:rsidP="00744E2B">
      <w:r>
        <w:separator/>
      </w:r>
    </w:p>
  </w:endnote>
  <w:endnote w:type="continuationSeparator" w:id="0">
    <w:p w:rsidR="00CB38B8" w:rsidRDefault="00CB38B8" w:rsidP="0074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B8" w:rsidRDefault="00CB38B8" w:rsidP="00744E2B">
      <w:r>
        <w:separator/>
      </w:r>
    </w:p>
  </w:footnote>
  <w:footnote w:type="continuationSeparator" w:id="0">
    <w:p w:rsidR="00CB38B8" w:rsidRDefault="00CB38B8" w:rsidP="0074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2B"/>
    <w:rsid w:val="0029351E"/>
    <w:rsid w:val="00602F10"/>
    <w:rsid w:val="00744E2B"/>
    <w:rsid w:val="00961BFA"/>
    <w:rsid w:val="009B7D81"/>
    <w:rsid w:val="00B94BED"/>
    <w:rsid w:val="00CB38B8"/>
    <w:rsid w:val="00E3651C"/>
    <w:rsid w:val="00E42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A6B89-EBD6-4B6D-AEFE-DA07218B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2B"/>
    <w:pPr>
      <w:spacing w:line="240" w:lineRule="auto"/>
      <w:jc w:val="left"/>
    </w:pPr>
    <w:rPr>
      <w:rFonts w:eastAsia="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44E2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744E2B"/>
    <w:rPr>
      <w:rFonts w:asciiTheme="minorHAnsi" w:hAnsiTheme="minorHAnsi"/>
      <w:sz w:val="22"/>
      <w:lang w:val="es-ES"/>
    </w:rPr>
  </w:style>
  <w:style w:type="paragraph" w:styleId="Piedepgina">
    <w:name w:val="footer"/>
    <w:basedOn w:val="Normal"/>
    <w:link w:val="PiedepginaCar"/>
    <w:uiPriority w:val="99"/>
    <w:unhideWhenUsed/>
    <w:rsid w:val="00744E2B"/>
    <w:pPr>
      <w:tabs>
        <w:tab w:val="center" w:pos="4419"/>
        <w:tab w:val="right" w:pos="8838"/>
      </w:tabs>
    </w:pPr>
  </w:style>
  <w:style w:type="character" w:customStyle="1" w:styleId="PiedepginaCar">
    <w:name w:val="Pie de página Car"/>
    <w:basedOn w:val="Fuentedeprrafopredeter"/>
    <w:link w:val="Piedepgina"/>
    <w:uiPriority w:val="99"/>
    <w:rsid w:val="00744E2B"/>
    <w:rPr>
      <w:rFonts w:eastAsia="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2017-05-17T19:55:00Z</dcterms:created>
  <dcterms:modified xsi:type="dcterms:W3CDTF">2017-05-20T15:00:00Z</dcterms:modified>
</cp:coreProperties>
</file>