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0E" w:rsidRDefault="00C92A0E" w:rsidP="00C92A0E">
      <w:pPr>
        <w:pStyle w:val="default"/>
        <w:spacing w:before="0" w:beforeAutospacing="0" w:after="0" w:afterAutospacing="0"/>
        <w:jc w:val="center"/>
        <w:rPr>
          <w:b/>
          <w:bCs/>
        </w:rPr>
      </w:pPr>
    </w:p>
    <w:p w:rsidR="00C92A0E" w:rsidRDefault="00C92A0E" w:rsidP="00C92A0E">
      <w:pPr>
        <w:pStyle w:val="default"/>
        <w:spacing w:before="0" w:beforeAutospacing="0" w:after="0" w:afterAutospacing="0"/>
        <w:jc w:val="center"/>
        <w:rPr>
          <w:b/>
          <w:bCs/>
        </w:rPr>
      </w:pPr>
      <w:r>
        <w:rPr>
          <w:b/>
          <w:bCs/>
        </w:rPr>
        <w:t>TABLA DE AJUSTE ACCIONES Y BIENES RAICES PERSONA NATURAL.</w:t>
      </w:r>
    </w:p>
    <w:p w:rsidR="00C92A0E" w:rsidRDefault="00C92A0E" w:rsidP="00C92A0E">
      <w:pPr>
        <w:pStyle w:val="default"/>
        <w:spacing w:before="0" w:beforeAutospacing="0" w:after="0" w:afterAutospacing="0"/>
        <w:jc w:val="center"/>
        <w:rPr>
          <w:b/>
          <w:bCs/>
        </w:rPr>
      </w:pPr>
      <w:r>
        <w:rPr>
          <w:b/>
          <w:bCs/>
        </w:rPr>
        <w:t>ARTÍCULO 73. E.T.</w:t>
      </w:r>
    </w:p>
    <w:p w:rsidR="00C92A0E" w:rsidRDefault="00C92A0E" w:rsidP="00C92A0E">
      <w:pPr>
        <w:pStyle w:val="default"/>
        <w:spacing w:before="0" w:beforeAutospacing="0" w:after="0" w:afterAutospacing="0"/>
        <w:jc w:val="center"/>
        <w:rPr>
          <w:b/>
          <w:bCs/>
        </w:rPr>
      </w:pPr>
      <w:r>
        <w:rPr>
          <w:b/>
          <w:bCs/>
        </w:rPr>
        <w:t>DECRETO 2169 DIC. 22/17</w:t>
      </w:r>
    </w:p>
    <w:p w:rsidR="00C92A0E" w:rsidRDefault="00C92A0E" w:rsidP="00BE1826">
      <w:pPr>
        <w:pStyle w:val="default"/>
        <w:spacing w:before="0" w:beforeAutospacing="0" w:after="0" w:afterAutospacing="0"/>
        <w:jc w:val="center"/>
        <w:rPr>
          <w:b/>
          <w:bCs/>
        </w:rPr>
      </w:pPr>
    </w:p>
    <w:p w:rsidR="00BE1826" w:rsidRPr="00BE1826" w:rsidRDefault="00BE1826" w:rsidP="00C92A0E">
      <w:pPr>
        <w:spacing w:line="240" w:lineRule="auto"/>
        <w:rPr>
          <w:rFonts w:eastAsia="Times New Roman" w:cs="Times New Roman"/>
          <w:szCs w:val="24"/>
          <w:lang w:eastAsia="es-CO"/>
        </w:rPr>
      </w:pPr>
      <w:bookmarkStart w:id="0" w:name="_GoBack"/>
      <w:bookmarkEnd w:id="0"/>
      <w:r w:rsidRPr="00BE1826">
        <w:rPr>
          <w:rFonts w:eastAsia="Times New Roman" w:cs="Times New Roman"/>
          <w:szCs w:val="24"/>
          <w:lang w:eastAsia="es-CO"/>
        </w:rPr>
        <w:t> </w:t>
      </w:r>
    </w:p>
    <w:p w:rsidR="00BE1826" w:rsidRPr="00BE1826" w:rsidRDefault="00BE1826" w:rsidP="00BE1826">
      <w:pPr>
        <w:spacing w:line="240" w:lineRule="auto"/>
        <w:ind w:left="180"/>
        <w:rPr>
          <w:rFonts w:eastAsia="Times New Roman" w:cs="Times New Roman"/>
          <w:szCs w:val="24"/>
          <w:lang w:eastAsia="es-CO"/>
        </w:rPr>
      </w:pPr>
      <w:r w:rsidRPr="00BE1826">
        <w:rPr>
          <w:rFonts w:eastAsia="Times New Roman" w:cs="Times New Roman"/>
          <w:szCs w:val="24"/>
          <w:lang w:eastAsia="es-CO"/>
        </w:rPr>
        <w:t>“</w:t>
      </w:r>
      <w:r w:rsidRPr="00BE1826">
        <w:rPr>
          <w:rFonts w:eastAsia="Times New Roman" w:cs="Times New Roman"/>
          <w:b/>
          <w:bCs/>
          <w:szCs w:val="24"/>
          <w:lang w:eastAsia="es-CO"/>
        </w:rPr>
        <w:t>Artículo 1.2.1.17.20. </w:t>
      </w:r>
      <w:r w:rsidRPr="00BE1826">
        <w:rPr>
          <w:rFonts w:eastAsia="Times New Roman" w:cs="Times New Roman"/>
          <w:b/>
          <w:bCs/>
          <w:i/>
          <w:iCs/>
          <w:szCs w:val="24"/>
          <w:lang w:eastAsia="es-CO"/>
        </w:rPr>
        <w:t>Ajuste del costo de los activos fijos</w:t>
      </w:r>
      <w:r w:rsidRPr="00BE1826">
        <w:rPr>
          <w:rFonts w:eastAsia="Times New Roman" w:cs="Times New Roman"/>
          <w:szCs w:val="24"/>
          <w:lang w:eastAsia="es-CO"/>
        </w:rPr>
        <w:t xml:space="preserve">. Los contribuyentes podrán ajustar el costo de los activos fijos por el año gravable 2017, en un cuatro punto cero siete por ciento </w:t>
      </w:r>
      <w:r w:rsidRPr="00BE1826">
        <w:rPr>
          <w:rFonts w:eastAsia="Times New Roman" w:cs="Times New Roman"/>
          <w:b/>
          <w:szCs w:val="24"/>
          <w:lang w:eastAsia="es-CO"/>
        </w:rPr>
        <w:t>(4,07%),</w:t>
      </w:r>
      <w:r w:rsidRPr="00BE1826">
        <w:rPr>
          <w:rFonts w:eastAsia="Times New Roman" w:cs="Times New Roman"/>
          <w:szCs w:val="24"/>
          <w:lang w:eastAsia="es-CO"/>
        </w:rPr>
        <w:t xml:space="preserve"> de acuerdo con lo previsto en el </w:t>
      </w:r>
      <w:hyperlink r:id="rId4" w:tooltip="Estatuto Tributario CETA" w:history="1">
        <w:r w:rsidRPr="00BE1826">
          <w:rPr>
            <w:rFonts w:eastAsia="Times New Roman" w:cs="Times New Roman"/>
            <w:szCs w:val="24"/>
            <w:lang w:eastAsia="es-CO"/>
          </w:rPr>
          <w:t>artículo 70</w:t>
        </w:r>
      </w:hyperlink>
      <w:r w:rsidRPr="00BE1826">
        <w:rPr>
          <w:rFonts w:eastAsia="Times New Roman" w:cs="Times New Roman"/>
          <w:szCs w:val="24"/>
          <w:lang w:eastAsia="es-CO"/>
        </w:rPr>
        <w:t> del Estatuto Tributario”.</w:t>
      </w:r>
    </w:p>
    <w:p w:rsidR="00BE1826" w:rsidRPr="00BE1826" w:rsidRDefault="00BE1826" w:rsidP="00BE1826">
      <w:pPr>
        <w:spacing w:line="240" w:lineRule="auto"/>
        <w:ind w:left="180"/>
        <w:rPr>
          <w:rFonts w:eastAsia="Times New Roman" w:cs="Times New Roman"/>
          <w:szCs w:val="24"/>
          <w:lang w:eastAsia="es-CO"/>
        </w:rPr>
      </w:pPr>
      <w:r w:rsidRPr="00BE1826">
        <w:rPr>
          <w:rFonts w:eastAsia="Times New Roman" w:cs="Times New Roman"/>
          <w:szCs w:val="24"/>
          <w:lang w:eastAsia="es-CO"/>
        </w:rPr>
        <w:t> </w:t>
      </w:r>
    </w:p>
    <w:p w:rsidR="00BE1826" w:rsidRPr="00BE1826" w:rsidRDefault="00BE1826" w:rsidP="00BE1826">
      <w:pPr>
        <w:spacing w:line="240" w:lineRule="auto"/>
        <w:ind w:left="180"/>
        <w:rPr>
          <w:rFonts w:eastAsia="Times New Roman" w:cs="Times New Roman"/>
          <w:szCs w:val="24"/>
          <w:lang w:eastAsia="es-CO"/>
        </w:rPr>
      </w:pPr>
      <w:r w:rsidRPr="00BE1826">
        <w:rPr>
          <w:rFonts w:eastAsia="Times New Roman" w:cs="Times New Roman"/>
          <w:szCs w:val="24"/>
          <w:lang w:eastAsia="es-CO"/>
        </w:rPr>
        <w:t>“</w:t>
      </w:r>
      <w:r w:rsidRPr="00BE1826">
        <w:rPr>
          <w:rFonts w:eastAsia="Times New Roman" w:cs="Times New Roman"/>
          <w:b/>
          <w:bCs/>
          <w:szCs w:val="24"/>
          <w:lang w:eastAsia="es-CO"/>
        </w:rPr>
        <w:t>Artículo 1.2.1.17.21. </w:t>
      </w:r>
      <w:r w:rsidRPr="00BE1826">
        <w:rPr>
          <w:rFonts w:eastAsia="Times New Roman" w:cs="Times New Roman"/>
          <w:b/>
          <w:bCs/>
          <w:i/>
          <w:iCs/>
          <w:szCs w:val="24"/>
          <w:lang w:eastAsia="es-CO"/>
        </w:rPr>
        <w:t>Costo fiscal para determinar la renta o ganancia ocasional</w:t>
      </w:r>
      <w:r w:rsidRPr="00BE1826">
        <w:rPr>
          <w:rFonts w:eastAsia="Times New Roman" w:cs="Times New Roman"/>
          <w:szCs w:val="24"/>
          <w:lang w:eastAsia="es-CO"/>
        </w:rPr>
        <w:t>. Para efectos de determinar la renta o ganancia ocasional, según el caso, proveniente de la enajenación durante el año gravable 2017, de bienes raíces y de acciones o aportes que tengan el carácter de activos fijos, los contribuyentes que sean personas naturales podrán tomar como costo fiscal cualquiera de los siguientes valores:</w:t>
      </w:r>
    </w:p>
    <w:p w:rsidR="00BE1826" w:rsidRPr="00BE1826" w:rsidRDefault="00BE1826" w:rsidP="00BE1826">
      <w:pPr>
        <w:spacing w:line="240" w:lineRule="auto"/>
        <w:ind w:left="180"/>
        <w:rPr>
          <w:rFonts w:eastAsia="Times New Roman" w:cs="Times New Roman"/>
          <w:szCs w:val="24"/>
          <w:lang w:eastAsia="es-CO"/>
        </w:rPr>
      </w:pPr>
      <w:r w:rsidRPr="00BE1826">
        <w:rPr>
          <w:rFonts w:eastAsia="Times New Roman" w:cs="Times New Roman"/>
          <w:szCs w:val="24"/>
          <w:lang w:eastAsia="es-CO"/>
        </w:rPr>
        <w:t> </w:t>
      </w:r>
    </w:p>
    <w:p w:rsidR="00BE1826" w:rsidRPr="00BE1826" w:rsidRDefault="00BE1826" w:rsidP="00BE1826">
      <w:pPr>
        <w:spacing w:line="240" w:lineRule="auto"/>
        <w:ind w:left="180"/>
        <w:rPr>
          <w:rFonts w:eastAsia="Times New Roman" w:cs="Times New Roman"/>
          <w:szCs w:val="24"/>
          <w:lang w:eastAsia="es-CO"/>
        </w:rPr>
      </w:pPr>
      <w:r w:rsidRPr="00BE1826">
        <w:rPr>
          <w:rFonts w:eastAsia="Times New Roman" w:cs="Times New Roman"/>
          <w:szCs w:val="24"/>
          <w:lang w:eastAsia="es-CO"/>
        </w:rPr>
        <w:t>1. El valor que se obtenga de multiplicar el costo fiscal de los activos fijos enajenados, que figure en la declaración de renta por el año gravable de 1986 por treinta y cinco punto cincuenta y dos (35.52), si se trata de acciones o aportes, y por doscientos noventa punto setenta y tres (290.73), en el caso de bienes raíces.</w:t>
      </w:r>
    </w:p>
    <w:p w:rsidR="00C92A0E" w:rsidRDefault="00C92A0E" w:rsidP="00BE1826">
      <w:pPr>
        <w:spacing w:line="240" w:lineRule="auto"/>
        <w:ind w:left="180"/>
        <w:rPr>
          <w:rFonts w:eastAsia="Times New Roman" w:cs="Times New Roman"/>
          <w:szCs w:val="24"/>
          <w:lang w:eastAsia="es-CO"/>
        </w:rPr>
      </w:pPr>
    </w:p>
    <w:p w:rsidR="00BE1826" w:rsidRPr="00BE1826" w:rsidRDefault="00BE1826" w:rsidP="00BE1826">
      <w:pPr>
        <w:spacing w:line="240" w:lineRule="auto"/>
        <w:ind w:left="180"/>
        <w:rPr>
          <w:rFonts w:eastAsia="Times New Roman" w:cs="Times New Roman"/>
          <w:szCs w:val="24"/>
          <w:lang w:eastAsia="es-CO"/>
        </w:rPr>
      </w:pPr>
      <w:r w:rsidRPr="00BE1826">
        <w:rPr>
          <w:rFonts w:eastAsia="Times New Roman" w:cs="Times New Roman"/>
          <w:szCs w:val="24"/>
          <w:lang w:eastAsia="es-CO"/>
        </w:rPr>
        <w:t>2. El valor que se obtenga de multiplicar el costo de adquisición del bien enajenado por la cifra de ajuste que figure frente al año de adquisición del mismo, conforme con la siguiente tabla:</w:t>
      </w:r>
    </w:p>
    <w:p w:rsidR="00BE1826" w:rsidRPr="008017C5" w:rsidRDefault="00BE1826" w:rsidP="008017C5">
      <w:pPr>
        <w:spacing w:line="240" w:lineRule="auto"/>
        <w:ind w:left="180"/>
        <w:jc w:val="center"/>
        <w:rPr>
          <w:rFonts w:eastAsia="Times New Roman" w:cs="Times New Roman"/>
          <w:szCs w:val="24"/>
          <w:lang w:eastAsia="es-CO"/>
        </w:rPr>
      </w:pPr>
      <w:r w:rsidRPr="00BE1826">
        <w:rPr>
          <w:rFonts w:eastAsia="Times New Roman" w:cs="Times New Roman"/>
          <w:szCs w:val="24"/>
          <w:lang w:eastAsia="es-CO"/>
        </w:rPr>
        <w:t> </w:t>
      </w:r>
    </w:p>
    <w:p w:rsidR="00BE1826" w:rsidRPr="008017C5" w:rsidRDefault="00BE1826" w:rsidP="00BE1826">
      <w:pPr>
        <w:pStyle w:val="pa9"/>
        <w:spacing w:before="0" w:beforeAutospacing="0" w:after="0" w:afterAutospacing="0"/>
        <w:jc w:val="both"/>
        <w:rPr>
          <w:b/>
          <w:shd w:val="clear" w:color="auto" w:fill="FFFFFF"/>
        </w:rPr>
      </w:pPr>
    </w:p>
    <w:p w:rsidR="00BE1826" w:rsidRPr="008017C5" w:rsidRDefault="00BE1826" w:rsidP="00BE1826">
      <w:pPr>
        <w:pStyle w:val="pa9"/>
        <w:spacing w:before="0" w:beforeAutospacing="0" w:after="0" w:afterAutospacing="0"/>
        <w:jc w:val="both"/>
        <w:rPr>
          <w:b/>
          <w:shd w:val="clear" w:color="auto" w:fill="FFFFFF"/>
        </w:rPr>
      </w:pPr>
    </w:p>
    <w:tbl>
      <w:tblPr>
        <w:tblW w:w="0" w:type="auto"/>
        <w:jc w:val="center"/>
        <w:tblCellMar>
          <w:left w:w="0" w:type="dxa"/>
          <w:right w:w="0" w:type="dxa"/>
        </w:tblCellMar>
        <w:tblLook w:val="04A0" w:firstRow="1" w:lastRow="0" w:firstColumn="1" w:lastColumn="0" w:noHBand="0" w:noVBand="1"/>
      </w:tblPr>
      <w:tblGrid>
        <w:gridCol w:w="2177"/>
        <w:gridCol w:w="2176"/>
        <w:gridCol w:w="1610"/>
      </w:tblGrid>
      <w:tr w:rsidR="008017C5" w:rsidRPr="008017C5" w:rsidTr="008017C5">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b/>
                <w:bCs/>
                <w:szCs w:val="24"/>
                <w:lang w:eastAsia="es-CO"/>
              </w:rPr>
              <w:t>Año de adquisición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b/>
                <w:bCs/>
                <w:szCs w:val="24"/>
                <w:lang w:eastAsia="es-CO"/>
              </w:rPr>
              <w:t>Acciones y Aportes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b/>
                <w:bCs/>
                <w:szCs w:val="24"/>
                <w:lang w:eastAsia="es-CO"/>
              </w:rPr>
              <w:t>Bienes Raíces</w:t>
            </w:r>
          </w:p>
        </w:tc>
      </w:tr>
      <w:tr w:rsidR="008017C5" w:rsidRPr="008017C5" w:rsidTr="008017C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017C5" w:rsidRPr="008017C5" w:rsidRDefault="008017C5" w:rsidP="008017C5">
            <w:pPr>
              <w:spacing w:line="240" w:lineRule="auto"/>
              <w:jc w:val="left"/>
              <w:rPr>
                <w:rFonts w:eastAsia="Times New Roman" w:cs="Times New Roman"/>
                <w:szCs w:val="24"/>
                <w:lang w:eastAsia="es-CO"/>
              </w:rPr>
            </w:pPr>
          </w:p>
        </w:tc>
        <w:tc>
          <w:tcPr>
            <w:tcW w:w="0" w:type="auto"/>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b/>
                <w:bCs/>
                <w:szCs w:val="24"/>
                <w:lang w:eastAsia="es-CO"/>
              </w:rPr>
              <w:t>Multiplicar por</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1955 y anteriores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2.997,73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23.680,64</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2.937,72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23.207,33</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2.720,12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21.488,53</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2.295,03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18.130,00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2.098,18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16.575,17</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1.958,35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15.470,39</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1.835,91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14.424,92</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1.728,05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13.650,41</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1.614,02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12.750,31</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1.234,16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9.749,96</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1.129,85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8.925,45</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985,72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7.786,95</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869,07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6.865,91</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807,01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6.375,16</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757,10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5.980,92</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696,15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5.499,47</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649,98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5.134,31</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575,95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4.550,53</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506,41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4.001,63</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413,69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3.268,98</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330,88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2.613,09</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281,34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2.222,35</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224,32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1.771,13</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175,91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1.389,70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lastRenderedPageBreak/>
              <w:t>1979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146,93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1.160,60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116,09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917,55</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93,28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736,13</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74,21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586,11</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59,63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470,98</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51,22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404,70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43,37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351,20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35,52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290,73</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29,35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246,54</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23,93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186,07</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18,75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116,00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14,87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80,22</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55,90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8,88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41,88</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7,13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29,76</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21,64</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15,42</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11,40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3,48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9,46</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7,27</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1999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6,05</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6,01</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5,82</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5,37</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4,82</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4,54</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4,26</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4,04</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3,07</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2,73</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2,25</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2,05</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1,88</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1,57</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1,35</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1,19</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1,10</w:t>
            </w:r>
          </w:p>
        </w:tc>
      </w:tr>
      <w:tr w:rsidR="008017C5" w:rsidRPr="008017C5" w:rsidTr="008017C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center"/>
              <w:rPr>
                <w:rFonts w:eastAsia="Times New Roman" w:cs="Times New Roman"/>
                <w:szCs w:val="24"/>
                <w:lang w:eastAsia="es-CO"/>
              </w:rPr>
            </w:pPr>
            <w:r w:rsidRPr="008017C5">
              <w:rPr>
                <w:rFonts w:eastAsia="Times New Roman" w:cs="Times New Roman"/>
                <w:szCs w:val="24"/>
                <w:lang w:eastAsia="es-CO"/>
              </w:rPr>
              <w:t>2016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17C5" w:rsidRPr="008017C5" w:rsidRDefault="008017C5" w:rsidP="008017C5">
            <w:pPr>
              <w:spacing w:line="240" w:lineRule="auto"/>
              <w:jc w:val="right"/>
              <w:rPr>
                <w:rFonts w:eastAsia="Times New Roman" w:cs="Times New Roman"/>
                <w:szCs w:val="24"/>
                <w:lang w:eastAsia="es-CO"/>
              </w:rPr>
            </w:pPr>
            <w:r w:rsidRPr="008017C5">
              <w:rPr>
                <w:rFonts w:eastAsia="Times New Roman" w:cs="Times New Roman"/>
                <w:szCs w:val="24"/>
                <w:lang w:eastAsia="es-CO"/>
              </w:rPr>
              <w:t>1,05</w:t>
            </w:r>
          </w:p>
        </w:tc>
      </w:tr>
    </w:tbl>
    <w:p w:rsidR="008017C5" w:rsidRPr="008017C5" w:rsidRDefault="008017C5" w:rsidP="008017C5">
      <w:pPr>
        <w:spacing w:line="240" w:lineRule="auto"/>
        <w:ind w:left="180"/>
        <w:rPr>
          <w:rFonts w:eastAsia="Times New Roman" w:cs="Times New Roman"/>
          <w:szCs w:val="24"/>
          <w:lang w:eastAsia="es-CO"/>
        </w:rPr>
      </w:pPr>
      <w:r w:rsidRPr="008017C5">
        <w:rPr>
          <w:rFonts w:eastAsia="Times New Roman" w:cs="Times New Roman"/>
          <w:szCs w:val="24"/>
          <w:lang w:eastAsia="es-CO"/>
        </w:rPr>
        <w:t> </w:t>
      </w:r>
    </w:p>
    <w:p w:rsidR="00BE1826" w:rsidRPr="008017C5" w:rsidRDefault="00BE1826" w:rsidP="00BE1826">
      <w:pPr>
        <w:pStyle w:val="pa9"/>
        <w:spacing w:before="0" w:beforeAutospacing="0" w:after="0" w:afterAutospacing="0"/>
        <w:jc w:val="both"/>
        <w:rPr>
          <w:b/>
          <w:shd w:val="clear" w:color="auto" w:fill="FFFFFF"/>
        </w:rPr>
      </w:pPr>
    </w:p>
    <w:p w:rsidR="00961BFA" w:rsidRPr="008017C5" w:rsidRDefault="00961BFA">
      <w:pPr>
        <w:rPr>
          <w:rFonts w:cs="Times New Roman"/>
          <w:szCs w:val="24"/>
        </w:rPr>
      </w:pPr>
    </w:p>
    <w:sectPr w:rsidR="00961BFA" w:rsidRPr="008017C5"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26"/>
    <w:rsid w:val="0029351E"/>
    <w:rsid w:val="008017C5"/>
    <w:rsid w:val="00961BFA"/>
    <w:rsid w:val="00B94BED"/>
    <w:rsid w:val="00BE1826"/>
    <w:rsid w:val="00C92A0E"/>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2B251-A3A7-4711-83CF-E28C2204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9">
    <w:name w:val="pa9"/>
    <w:basedOn w:val="Normal"/>
    <w:rsid w:val="00BE1826"/>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BE1826"/>
    <w:rPr>
      <w:color w:val="0000FF"/>
      <w:u w:val="single"/>
    </w:rPr>
  </w:style>
  <w:style w:type="paragraph" w:customStyle="1" w:styleId="default">
    <w:name w:val="default"/>
    <w:basedOn w:val="Normal"/>
    <w:rsid w:val="00BE1826"/>
    <w:pPr>
      <w:spacing w:before="100" w:beforeAutospacing="1" w:after="100" w:afterAutospacing="1" w:line="240" w:lineRule="auto"/>
      <w:jc w:val="left"/>
    </w:pPr>
    <w:rPr>
      <w:rFonts w:eastAsia="Times New Roman" w:cs="Times New Roman"/>
      <w:szCs w:val="24"/>
      <w:lang w:eastAsia="es-CO"/>
    </w:rPr>
  </w:style>
  <w:style w:type="paragraph" w:customStyle="1" w:styleId="pa7">
    <w:name w:val="pa7"/>
    <w:basedOn w:val="Normal"/>
    <w:rsid w:val="00BE1826"/>
    <w:pPr>
      <w:spacing w:before="100" w:beforeAutospacing="1" w:after="100" w:afterAutospacing="1" w:line="240" w:lineRule="auto"/>
      <w:jc w:val="left"/>
    </w:pPr>
    <w:rPr>
      <w:rFonts w:eastAsia="Times New Roman" w:cs="Times New Roman"/>
      <w:szCs w:val="24"/>
      <w:lang w:eastAsia="es-CO"/>
    </w:rPr>
  </w:style>
  <w:style w:type="paragraph" w:customStyle="1" w:styleId="pa8">
    <w:name w:val="pa8"/>
    <w:basedOn w:val="Normal"/>
    <w:rsid w:val="00BE1826"/>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9563">
      <w:bodyDiv w:val="1"/>
      <w:marLeft w:val="0"/>
      <w:marRight w:val="0"/>
      <w:marTop w:val="0"/>
      <w:marBottom w:val="0"/>
      <w:divBdr>
        <w:top w:val="none" w:sz="0" w:space="0" w:color="auto"/>
        <w:left w:val="none" w:sz="0" w:space="0" w:color="auto"/>
        <w:bottom w:val="none" w:sz="0" w:space="0" w:color="auto"/>
        <w:right w:val="none" w:sz="0" w:space="0" w:color="auto"/>
      </w:divBdr>
    </w:div>
    <w:div w:id="243956753">
      <w:bodyDiv w:val="1"/>
      <w:marLeft w:val="0"/>
      <w:marRight w:val="0"/>
      <w:marTop w:val="0"/>
      <w:marBottom w:val="0"/>
      <w:divBdr>
        <w:top w:val="none" w:sz="0" w:space="0" w:color="auto"/>
        <w:left w:val="none" w:sz="0" w:space="0" w:color="auto"/>
        <w:bottom w:val="none" w:sz="0" w:space="0" w:color="auto"/>
        <w:right w:val="none" w:sz="0" w:space="0" w:color="auto"/>
      </w:divBdr>
    </w:div>
    <w:div w:id="282687000">
      <w:bodyDiv w:val="1"/>
      <w:marLeft w:val="0"/>
      <w:marRight w:val="0"/>
      <w:marTop w:val="0"/>
      <w:marBottom w:val="0"/>
      <w:divBdr>
        <w:top w:val="none" w:sz="0" w:space="0" w:color="auto"/>
        <w:left w:val="none" w:sz="0" w:space="0" w:color="auto"/>
        <w:bottom w:val="none" w:sz="0" w:space="0" w:color="auto"/>
        <w:right w:val="none" w:sz="0" w:space="0" w:color="auto"/>
      </w:divBdr>
    </w:div>
    <w:div w:id="329215434">
      <w:bodyDiv w:val="1"/>
      <w:marLeft w:val="0"/>
      <w:marRight w:val="0"/>
      <w:marTop w:val="0"/>
      <w:marBottom w:val="0"/>
      <w:divBdr>
        <w:top w:val="none" w:sz="0" w:space="0" w:color="auto"/>
        <w:left w:val="none" w:sz="0" w:space="0" w:color="auto"/>
        <w:bottom w:val="none" w:sz="0" w:space="0" w:color="auto"/>
        <w:right w:val="none" w:sz="0" w:space="0" w:color="auto"/>
      </w:divBdr>
    </w:div>
    <w:div w:id="343292315">
      <w:bodyDiv w:val="1"/>
      <w:marLeft w:val="0"/>
      <w:marRight w:val="0"/>
      <w:marTop w:val="0"/>
      <w:marBottom w:val="0"/>
      <w:divBdr>
        <w:top w:val="none" w:sz="0" w:space="0" w:color="auto"/>
        <w:left w:val="none" w:sz="0" w:space="0" w:color="auto"/>
        <w:bottom w:val="none" w:sz="0" w:space="0" w:color="auto"/>
        <w:right w:val="none" w:sz="0" w:space="0" w:color="auto"/>
      </w:divBdr>
    </w:div>
    <w:div w:id="512380330">
      <w:bodyDiv w:val="1"/>
      <w:marLeft w:val="0"/>
      <w:marRight w:val="0"/>
      <w:marTop w:val="0"/>
      <w:marBottom w:val="0"/>
      <w:divBdr>
        <w:top w:val="none" w:sz="0" w:space="0" w:color="auto"/>
        <w:left w:val="none" w:sz="0" w:space="0" w:color="auto"/>
        <w:bottom w:val="none" w:sz="0" w:space="0" w:color="auto"/>
        <w:right w:val="none" w:sz="0" w:space="0" w:color="auto"/>
      </w:divBdr>
    </w:div>
    <w:div w:id="706223244">
      <w:bodyDiv w:val="1"/>
      <w:marLeft w:val="0"/>
      <w:marRight w:val="0"/>
      <w:marTop w:val="0"/>
      <w:marBottom w:val="0"/>
      <w:divBdr>
        <w:top w:val="none" w:sz="0" w:space="0" w:color="auto"/>
        <w:left w:val="none" w:sz="0" w:space="0" w:color="auto"/>
        <w:bottom w:val="none" w:sz="0" w:space="0" w:color="auto"/>
        <w:right w:val="none" w:sz="0" w:space="0" w:color="auto"/>
      </w:divBdr>
    </w:div>
    <w:div w:id="762604655">
      <w:bodyDiv w:val="1"/>
      <w:marLeft w:val="0"/>
      <w:marRight w:val="0"/>
      <w:marTop w:val="0"/>
      <w:marBottom w:val="0"/>
      <w:divBdr>
        <w:top w:val="none" w:sz="0" w:space="0" w:color="auto"/>
        <w:left w:val="none" w:sz="0" w:space="0" w:color="auto"/>
        <w:bottom w:val="none" w:sz="0" w:space="0" w:color="auto"/>
        <w:right w:val="none" w:sz="0" w:space="0" w:color="auto"/>
      </w:divBdr>
    </w:div>
    <w:div w:id="1417095846">
      <w:bodyDiv w:val="1"/>
      <w:marLeft w:val="0"/>
      <w:marRight w:val="0"/>
      <w:marTop w:val="0"/>
      <w:marBottom w:val="0"/>
      <w:divBdr>
        <w:top w:val="none" w:sz="0" w:space="0" w:color="auto"/>
        <w:left w:val="none" w:sz="0" w:space="0" w:color="auto"/>
        <w:bottom w:val="none" w:sz="0" w:space="0" w:color="auto"/>
        <w:right w:val="none" w:sz="0" w:space="0" w:color="auto"/>
      </w:divBdr>
    </w:div>
    <w:div w:id="1544514680">
      <w:bodyDiv w:val="1"/>
      <w:marLeft w:val="0"/>
      <w:marRight w:val="0"/>
      <w:marTop w:val="0"/>
      <w:marBottom w:val="0"/>
      <w:divBdr>
        <w:top w:val="none" w:sz="0" w:space="0" w:color="auto"/>
        <w:left w:val="none" w:sz="0" w:space="0" w:color="auto"/>
        <w:bottom w:val="none" w:sz="0" w:space="0" w:color="auto"/>
        <w:right w:val="none" w:sz="0" w:space="0" w:color="auto"/>
      </w:divBdr>
    </w:div>
    <w:div w:id="1717116725">
      <w:bodyDiv w:val="1"/>
      <w:marLeft w:val="0"/>
      <w:marRight w:val="0"/>
      <w:marTop w:val="0"/>
      <w:marBottom w:val="0"/>
      <w:divBdr>
        <w:top w:val="none" w:sz="0" w:space="0" w:color="auto"/>
        <w:left w:val="none" w:sz="0" w:space="0" w:color="auto"/>
        <w:bottom w:val="none" w:sz="0" w:space="0" w:color="auto"/>
        <w:right w:val="none" w:sz="0" w:space="0" w:color="auto"/>
      </w:divBdr>
    </w:div>
    <w:div w:id="1735934097">
      <w:bodyDiv w:val="1"/>
      <w:marLeft w:val="0"/>
      <w:marRight w:val="0"/>
      <w:marTop w:val="0"/>
      <w:marBottom w:val="0"/>
      <w:divBdr>
        <w:top w:val="none" w:sz="0" w:space="0" w:color="auto"/>
        <w:left w:val="none" w:sz="0" w:space="0" w:color="auto"/>
        <w:bottom w:val="none" w:sz="0" w:space="0" w:color="auto"/>
        <w:right w:val="none" w:sz="0" w:space="0" w:color="auto"/>
      </w:divBdr>
    </w:div>
    <w:div w:id="1926107995">
      <w:bodyDiv w:val="1"/>
      <w:marLeft w:val="0"/>
      <w:marRight w:val="0"/>
      <w:marTop w:val="0"/>
      <w:marBottom w:val="0"/>
      <w:divBdr>
        <w:top w:val="none" w:sz="0" w:space="0" w:color="auto"/>
        <w:left w:val="none" w:sz="0" w:space="0" w:color="auto"/>
        <w:bottom w:val="none" w:sz="0" w:space="0" w:color="auto"/>
        <w:right w:val="none" w:sz="0" w:space="0" w:color="auto"/>
      </w:divBdr>
    </w:div>
    <w:div w:id="2011062262">
      <w:bodyDiv w:val="1"/>
      <w:marLeft w:val="0"/>
      <w:marRight w:val="0"/>
      <w:marTop w:val="0"/>
      <w:marBottom w:val="0"/>
      <w:divBdr>
        <w:top w:val="none" w:sz="0" w:space="0" w:color="auto"/>
        <w:left w:val="none" w:sz="0" w:space="0" w:color="auto"/>
        <w:bottom w:val="none" w:sz="0" w:space="0" w:color="auto"/>
        <w:right w:val="none" w:sz="0" w:space="0" w:color="auto"/>
      </w:divBdr>
    </w:div>
    <w:div w:id="2048412844">
      <w:bodyDiv w:val="1"/>
      <w:marLeft w:val="0"/>
      <w:marRight w:val="0"/>
      <w:marTop w:val="0"/>
      <w:marBottom w:val="0"/>
      <w:divBdr>
        <w:top w:val="none" w:sz="0" w:space="0" w:color="auto"/>
        <w:left w:val="none" w:sz="0" w:space="0" w:color="auto"/>
        <w:bottom w:val="none" w:sz="0" w:space="0" w:color="auto"/>
        <w:right w:val="none" w:sz="0" w:space="0" w:color="auto"/>
      </w:divBdr>
    </w:div>
    <w:div w:id="20930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1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420</Words>
  <Characters>2311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2017-12-30T21:49:00Z</dcterms:created>
  <dcterms:modified xsi:type="dcterms:W3CDTF">2018-01-02T19:28:00Z</dcterms:modified>
</cp:coreProperties>
</file>