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E6" w:rsidRPr="00A469E6" w:rsidRDefault="00A469E6" w:rsidP="00A469E6">
      <w:pPr>
        <w:spacing w:line="240" w:lineRule="auto"/>
        <w:jc w:val="center"/>
        <w:rPr>
          <w:rFonts w:eastAsia="Times New Roman" w:cs="Times New Roman"/>
          <w:b/>
          <w:szCs w:val="24"/>
          <w:lang w:eastAsia="es-CO"/>
        </w:rPr>
      </w:pPr>
      <w:r w:rsidRPr="00A469E6">
        <w:rPr>
          <w:rFonts w:eastAsia="Times New Roman" w:cs="Times New Roman"/>
          <w:b/>
          <w:bCs/>
          <w:szCs w:val="24"/>
          <w:lang w:eastAsia="es-CO"/>
        </w:rPr>
        <w:t>DECRETO Nº 1998</w:t>
      </w:r>
    </w:p>
    <w:p w:rsidR="00A469E6" w:rsidRPr="00A469E6" w:rsidRDefault="00A469E6" w:rsidP="00A469E6">
      <w:pPr>
        <w:spacing w:line="240" w:lineRule="auto"/>
        <w:jc w:val="center"/>
        <w:rPr>
          <w:rFonts w:eastAsia="Times New Roman" w:cs="Times New Roman"/>
          <w:b/>
          <w:szCs w:val="24"/>
          <w:lang w:eastAsia="es-CO"/>
        </w:rPr>
      </w:pPr>
      <w:r w:rsidRPr="00A469E6">
        <w:rPr>
          <w:rFonts w:eastAsia="Times New Roman" w:cs="Times New Roman"/>
          <w:b/>
          <w:bCs/>
          <w:szCs w:val="24"/>
          <w:lang w:eastAsia="es-CO"/>
        </w:rPr>
        <w:t>30-11-2017</w:t>
      </w:r>
    </w:p>
    <w:p w:rsidR="00A469E6" w:rsidRPr="00A469E6" w:rsidRDefault="00A469E6" w:rsidP="00A469E6">
      <w:pPr>
        <w:spacing w:line="240" w:lineRule="auto"/>
        <w:jc w:val="center"/>
        <w:rPr>
          <w:rFonts w:eastAsia="Times New Roman" w:cs="Times New Roman"/>
          <w:b/>
          <w:szCs w:val="24"/>
          <w:lang w:eastAsia="es-CO"/>
        </w:rPr>
      </w:pPr>
      <w:r w:rsidRPr="00A469E6">
        <w:rPr>
          <w:rFonts w:eastAsia="Times New Roman" w:cs="Times New Roman"/>
          <w:b/>
          <w:bCs/>
          <w:szCs w:val="24"/>
          <w:lang w:eastAsia="es-CO"/>
        </w:rPr>
        <w:t>MINISTERIO DE HACIENDA Y CRÉDITO PÚBLICO</w:t>
      </w:r>
    </w:p>
    <w:p w:rsidR="00A469E6" w:rsidRPr="00A469E6" w:rsidRDefault="00A469E6" w:rsidP="00A469E6">
      <w:pPr>
        <w:spacing w:line="240" w:lineRule="auto"/>
        <w:jc w:val="center"/>
        <w:rPr>
          <w:rFonts w:eastAsia="Times New Roman" w:cs="Times New Roman"/>
          <w:b/>
          <w:szCs w:val="24"/>
          <w:lang w:eastAsia="es-CO"/>
        </w:rPr>
      </w:pP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bCs/>
          <w:i/>
          <w:iCs/>
          <w:szCs w:val="24"/>
          <w:lang w:eastAsia="es-CO"/>
        </w:rPr>
        <w:t> </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i/>
          <w:iCs/>
          <w:szCs w:val="24"/>
          <w:lang w:eastAsia="es-CO"/>
        </w:rPr>
        <w:t>Por el cual se sustituye la Parte 7 del Libro 1 del Decreto 1625 de 2016, Único Reglamentario en Materia Tributaria, para reglamentar la Conciliación Fiscal de que trata el </w:t>
      </w:r>
      <w:hyperlink r:id="rId4" w:tooltip="Estatuto Tributario CETA" w:history="1">
        <w:r w:rsidRPr="00A469E6">
          <w:rPr>
            <w:rFonts w:eastAsia="Times New Roman" w:cs="Times New Roman"/>
            <w:i/>
            <w:iCs/>
            <w:szCs w:val="24"/>
            <w:lang w:eastAsia="es-CO"/>
          </w:rPr>
          <w:t>artículo 772-1</w:t>
        </w:r>
      </w:hyperlink>
      <w:r w:rsidRPr="00A469E6">
        <w:rPr>
          <w:rFonts w:eastAsia="Times New Roman" w:cs="Times New Roman"/>
          <w:i/>
          <w:iCs/>
          <w:szCs w:val="24"/>
          <w:lang w:eastAsia="es-CO"/>
        </w:rPr>
        <w:t> del Estatuto Tributario.</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El Presidente de la República de Colombia, en ejercicio de sus facultades constitucionales y legales, en especial las conferidas por los numerales 11 y 20 del artículo 189 de la Constitución Política, y en desarrollo de la Ley 1819 del 2016, y</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jc w:val="center"/>
        <w:rPr>
          <w:rFonts w:eastAsia="Times New Roman" w:cs="Times New Roman"/>
          <w:b/>
          <w:szCs w:val="24"/>
          <w:lang w:eastAsia="es-CO"/>
        </w:rPr>
      </w:pPr>
      <w:r w:rsidRPr="00A469E6">
        <w:rPr>
          <w:rFonts w:eastAsia="Times New Roman" w:cs="Times New Roman"/>
          <w:b/>
          <w:bCs/>
          <w:szCs w:val="24"/>
          <w:lang w:eastAsia="es-CO"/>
        </w:rPr>
        <w:t>CONSIDERANDO:</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bCs/>
          <w:szCs w:val="24"/>
          <w:lang w:eastAsia="es-CO"/>
        </w:rPr>
        <w:t> </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Que la Ley 1819 del 29 de diciembre de 2016, por medio de la cual se adopta una reforma tributaria estructural y se fortalecen los mecanismos para la lucha contra la evasión y la elusión fiscal, adiciona el </w:t>
      </w:r>
      <w:hyperlink r:id="rId5" w:tooltip="Estatuto Tributario CETA" w:history="1">
        <w:r w:rsidRPr="00A469E6">
          <w:rPr>
            <w:rFonts w:eastAsia="Times New Roman" w:cs="Times New Roman"/>
            <w:szCs w:val="24"/>
            <w:lang w:eastAsia="es-CO"/>
          </w:rPr>
          <w:t>artículo 772-1</w:t>
        </w:r>
      </w:hyperlink>
      <w:r w:rsidRPr="00A469E6">
        <w:rPr>
          <w:rFonts w:eastAsia="Times New Roman" w:cs="Times New Roman"/>
          <w:szCs w:val="24"/>
          <w:lang w:eastAsia="es-CO"/>
        </w:rPr>
        <w:t> al Estatuto Tributario.</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Que el Gobierno Nacional expidió el Decreto 1625 de 2016, Único Reglamentario en Materia Tributaria, para compilar y racionalizar las normas de carácter reglamentario que rigen el sector y contar con instrumentos jurídicos únicos.</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Que de acuerdo con lo establecido en el artículo 4° de la Ley 1314 de 2009, las normas tributarias son autónomas e independientes de las de contabilidad e información financiera.</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Que el artículo 137 de la Ley 1819 de 2016, mediante el cual se adiciona el </w:t>
      </w:r>
      <w:hyperlink r:id="rId6" w:tooltip="Estatuto Tributario CETA" w:history="1">
        <w:r w:rsidRPr="00A469E6">
          <w:rPr>
            <w:rFonts w:eastAsia="Times New Roman" w:cs="Times New Roman"/>
            <w:szCs w:val="24"/>
            <w:lang w:eastAsia="es-CO"/>
          </w:rPr>
          <w:t>artículo 772-1</w:t>
        </w:r>
      </w:hyperlink>
      <w:r w:rsidRPr="00A469E6">
        <w:rPr>
          <w:rFonts w:eastAsia="Times New Roman" w:cs="Times New Roman"/>
          <w:szCs w:val="24"/>
          <w:lang w:eastAsia="es-CO"/>
        </w:rPr>
        <w:t> al Estatuto Tributario “conciliación fiscal”, señala que sin perjuicio de lo establecido en el artículo 4 de la Ley 1314 de 2009, los contribuyentes obligados a llevar contabilidad deberán llevar un sistema de control o conciliaciones de diferencias que surjan entre los nuevos marcos técnicos normativos contables y las disposiciones del Estatuto Tributario y estas últimas dan como resultado la base fiscal.</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Que este artículo establece que incumplir con la obligación formal de llevar y presentar la conciliación fiscal constituye una irregularidad en la contabilidad para efectos sancionatorios.</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Que el artículo 138 de la Ley 1819 del 29 de diciembre de 2016, incorporó el </w:t>
      </w:r>
      <w:hyperlink r:id="rId7" w:tooltip="Estatuto Tributario CETA" w:history="1">
        <w:r w:rsidRPr="00A469E6">
          <w:rPr>
            <w:rFonts w:eastAsia="Times New Roman" w:cs="Times New Roman"/>
            <w:szCs w:val="24"/>
            <w:lang w:eastAsia="es-CO"/>
          </w:rPr>
          <w:t>artículo 868-2</w:t>
        </w:r>
      </w:hyperlink>
      <w:r w:rsidRPr="00A469E6">
        <w:rPr>
          <w:rFonts w:eastAsia="Times New Roman" w:cs="Times New Roman"/>
          <w:szCs w:val="24"/>
          <w:lang w:eastAsia="es-CO"/>
        </w:rPr>
        <w:t> “moneda funcional para efectos fiscales” al Estatuto Tributario, por tal razón se hace necesario aclarar la forma como deben realizar la conversión de la información contable de una moneda funcional diferente al peso colombiano, de tal forma que la administración tributaria pueda validar dichas conversiones.</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xml:space="preserve">Que en atención al considerando anterior se precisa que el proceso de conversión a que se hace </w:t>
      </w:r>
      <w:proofErr w:type="spellStart"/>
      <w:r w:rsidRPr="00A469E6">
        <w:rPr>
          <w:rFonts w:eastAsia="Times New Roman" w:cs="Times New Roman"/>
          <w:szCs w:val="24"/>
          <w:lang w:eastAsia="es-CO"/>
        </w:rPr>
        <w:t>refencia</w:t>
      </w:r>
      <w:proofErr w:type="spellEnd"/>
      <w:r w:rsidRPr="00A469E6">
        <w:rPr>
          <w:rFonts w:eastAsia="Times New Roman" w:cs="Times New Roman"/>
          <w:szCs w:val="24"/>
          <w:lang w:eastAsia="es-CO"/>
        </w:rPr>
        <w:t xml:space="preserve"> (sic) no corresponde a la aplicación del estándar de contabilidad NIC 21 y la sección 30 de la NIIF para PYMES, incorporada mediante el Decreto 2420 de 2015, Único Reglamentario de las Normas de Contabilidad, de Información Financiera y de Aseguramiento de la Información.</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Que en cumplimiento del Decreto 1081 de 2015, modificado por el Decreto 270 de 2017, y los artículos 3° y 8° de la Ley 1437 de 2011, el proyecto de decreto fue publicado en la página web del Ministerio de Hacienda y Crédito Público.</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jc w:val="center"/>
        <w:rPr>
          <w:rFonts w:eastAsia="Times New Roman" w:cs="Times New Roman"/>
          <w:b/>
          <w:szCs w:val="24"/>
          <w:lang w:eastAsia="es-CO"/>
        </w:rPr>
      </w:pPr>
      <w:r w:rsidRPr="00A469E6">
        <w:rPr>
          <w:rFonts w:eastAsia="Times New Roman" w:cs="Times New Roman"/>
          <w:b/>
          <w:bCs/>
          <w:szCs w:val="24"/>
          <w:lang w:eastAsia="es-CO"/>
        </w:rPr>
        <w:t>DECRETA:</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bCs/>
          <w:szCs w:val="24"/>
          <w:lang w:eastAsia="es-CO"/>
        </w:rPr>
        <w:lastRenderedPageBreak/>
        <w:t> </w:t>
      </w:r>
    </w:p>
    <w:p w:rsidR="00A469E6" w:rsidRPr="00A469E6" w:rsidRDefault="00A469E6" w:rsidP="00A469E6">
      <w:pPr>
        <w:spacing w:line="240" w:lineRule="auto"/>
        <w:rPr>
          <w:rFonts w:eastAsia="Times New Roman" w:cs="Times New Roman"/>
          <w:b/>
          <w:szCs w:val="24"/>
          <w:lang w:eastAsia="es-CO"/>
        </w:rPr>
      </w:pPr>
      <w:r w:rsidRPr="00A469E6">
        <w:rPr>
          <w:rFonts w:eastAsia="Times New Roman" w:cs="Times New Roman"/>
          <w:b/>
          <w:bCs/>
          <w:szCs w:val="24"/>
          <w:lang w:eastAsia="es-CO"/>
        </w:rPr>
        <w:t>Artículo 1°.</w:t>
      </w:r>
      <w:r w:rsidRPr="00A469E6">
        <w:rPr>
          <w:rFonts w:eastAsia="Times New Roman" w:cs="Times New Roman"/>
          <w:b/>
          <w:szCs w:val="24"/>
          <w:lang w:eastAsia="es-CO"/>
        </w:rPr>
        <w:t> </w:t>
      </w:r>
      <w:r w:rsidRPr="00A469E6">
        <w:rPr>
          <w:rFonts w:eastAsia="Times New Roman" w:cs="Times New Roman"/>
          <w:b/>
          <w:i/>
          <w:iCs/>
          <w:szCs w:val="24"/>
          <w:lang w:eastAsia="es-CO"/>
        </w:rPr>
        <w:t>Sustitúyase la Parte 7 del Libro Primero del Decreto 1625 de 2016, Único Reglamentario en Materia Tributaria, la cual quedará así:</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Cs/>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bCs/>
          <w:szCs w:val="24"/>
          <w:lang w:eastAsia="es-CO"/>
        </w:rPr>
        <w:t>Artículo 1.7.1. </w:t>
      </w:r>
      <w:r w:rsidRPr="00A469E6">
        <w:rPr>
          <w:rFonts w:eastAsia="Times New Roman" w:cs="Times New Roman"/>
          <w:b/>
          <w:bCs/>
          <w:i/>
          <w:iCs/>
          <w:szCs w:val="24"/>
          <w:lang w:eastAsia="es-CO"/>
        </w:rPr>
        <w:t>Conciliación fiscal</w:t>
      </w:r>
      <w:r w:rsidRPr="00A469E6">
        <w:rPr>
          <w:rFonts w:eastAsia="Times New Roman" w:cs="Times New Roman"/>
          <w:bCs/>
          <w:i/>
          <w:iCs/>
          <w:szCs w:val="24"/>
          <w:lang w:eastAsia="es-CO"/>
        </w:rPr>
        <w:t>. </w:t>
      </w:r>
      <w:r w:rsidRPr="00A469E6">
        <w:rPr>
          <w:rFonts w:eastAsia="Times New Roman" w:cs="Times New Roman"/>
          <w:szCs w:val="24"/>
          <w:lang w:eastAsia="es-CO"/>
        </w:rPr>
        <w:t>La conciliación fiscal constituye una obligación de carácter formal, que se define como el sistema de control o conciliación mediante el cual los contribuyentes del impuesto sobre la renta y complementario obligados a llevar contabilidad, deben registrar las diferencias que surjan entre la aplicación de los marcos técnicos normativos contables y las disposiciones del Estatuto Tributario.</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La conciliación fiscal contendrá las bases contables y fiscales de los activos, pasivos, ingresos, costos, gastos (deducciones) y demás partidas y conceptos que deban ser declarados, así como las diferencias que surjan entre ellas. La (sic) cifras fiscales reportadas en la conciliación fiscal corresponden a los valores que se consignarán en la Declaración del impuesto sobre la Renta y Complementario.</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b/>
          <w:szCs w:val="24"/>
          <w:lang w:eastAsia="es-CO"/>
        </w:rPr>
      </w:pPr>
      <w:r w:rsidRPr="00A469E6">
        <w:rPr>
          <w:rFonts w:eastAsia="Times New Roman" w:cs="Times New Roman"/>
          <w:b/>
          <w:szCs w:val="24"/>
          <w:lang w:eastAsia="es-CO"/>
        </w:rPr>
        <w:t>La conciliación fiscal está compuesta por los siguientes elementos:</w:t>
      </w:r>
    </w:p>
    <w:p w:rsidR="00A469E6" w:rsidRPr="00A469E6" w:rsidRDefault="00A469E6" w:rsidP="00A469E6">
      <w:pPr>
        <w:spacing w:line="240" w:lineRule="auto"/>
        <w:ind w:left="180"/>
        <w:rPr>
          <w:rFonts w:eastAsia="Times New Roman" w:cs="Times New Roman"/>
          <w:b/>
          <w:szCs w:val="24"/>
          <w:lang w:eastAsia="es-CO"/>
        </w:rPr>
      </w:pPr>
      <w:r w:rsidRPr="00A469E6">
        <w:rPr>
          <w:rFonts w:eastAsia="Times New Roman" w:cs="Times New Roman"/>
          <w:b/>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bCs/>
          <w:szCs w:val="24"/>
          <w:lang w:eastAsia="es-CO"/>
        </w:rPr>
        <w:t>1. El control de detalle</w:t>
      </w:r>
      <w:r w:rsidRPr="00A469E6">
        <w:rPr>
          <w:rFonts w:eastAsia="Times New Roman" w:cs="Times New Roman"/>
          <w:bCs/>
          <w:szCs w:val="24"/>
          <w:lang w:eastAsia="es-CO"/>
        </w:rPr>
        <w:t>.</w:t>
      </w:r>
      <w:r w:rsidRPr="00A469E6">
        <w:rPr>
          <w:rFonts w:eastAsia="Times New Roman" w:cs="Times New Roman"/>
          <w:szCs w:val="24"/>
          <w:lang w:eastAsia="es-CO"/>
        </w:rPr>
        <w:t> Corresponde a una herramienta de control implementada de manera autónoma por el contribuyente, la cual contiene las diferencias que surgen entre los sistemas de reconocimiento y medición de la aplicación de los marcos técnicos normativos contables y las disposiciones del Estatuto Tributario y detalla las partidas conciliadas a que se refiere el numeral 2 de este artículo.</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b/>
          <w:szCs w:val="24"/>
          <w:lang w:eastAsia="es-CO"/>
        </w:rPr>
      </w:pPr>
      <w:r w:rsidRPr="00A469E6">
        <w:rPr>
          <w:rFonts w:eastAsia="Times New Roman" w:cs="Times New Roman"/>
          <w:b/>
          <w:szCs w:val="24"/>
          <w:lang w:eastAsia="es-CO"/>
        </w:rPr>
        <w:t>El control de detalle deberá contener como mínimo:</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szCs w:val="24"/>
          <w:lang w:eastAsia="es-CO"/>
        </w:rPr>
        <w:t xml:space="preserve">a) </w:t>
      </w:r>
      <w:r w:rsidRPr="00A469E6">
        <w:rPr>
          <w:rFonts w:eastAsia="Times New Roman" w:cs="Times New Roman"/>
          <w:szCs w:val="24"/>
          <w:lang w:eastAsia="es-CO"/>
        </w:rPr>
        <w:t>Su diligenciamiento, deberá reflejar de manera consistente el tratamiento fiscal de las transacciones o hechos económicos que generen diferencias de reconocimiento y medición entre lo contable y fiscal.</w:t>
      </w:r>
    </w:p>
    <w:p w:rsidR="005F4196" w:rsidRDefault="005F4196" w:rsidP="00A469E6">
      <w:pPr>
        <w:spacing w:line="240" w:lineRule="auto"/>
        <w:ind w:left="180"/>
        <w:rPr>
          <w:rFonts w:eastAsia="Times New Roman" w:cs="Times New Roman"/>
          <w:szCs w:val="24"/>
          <w:lang w:eastAsia="es-CO"/>
        </w:rPr>
      </w:pP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szCs w:val="24"/>
          <w:lang w:eastAsia="es-CO"/>
        </w:rPr>
        <w:t>b)</w:t>
      </w:r>
      <w:r w:rsidRPr="00A469E6">
        <w:rPr>
          <w:rFonts w:eastAsia="Times New Roman" w:cs="Times New Roman"/>
          <w:szCs w:val="24"/>
          <w:lang w:eastAsia="es-CO"/>
        </w:rPr>
        <w:t xml:space="preserve"> Deberá garantizar la identificación y detalle de las diferencias, a que se refiere el inciso 1° de este artículo; así como el registro o registros contables a los cuales se encuentra asociadas.</w:t>
      </w:r>
    </w:p>
    <w:p w:rsidR="005F4196" w:rsidRDefault="005F4196" w:rsidP="00A469E6">
      <w:pPr>
        <w:spacing w:line="240" w:lineRule="auto"/>
        <w:ind w:left="180"/>
        <w:rPr>
          <w:rFonts w:eastAsia="Times New Roman" w:cs="Times New Roman"/>
          <w:szCs w:val="24"/>
          <w:lang w:eastAsia="es-CO"/>
        </w:rPr>
      </w:pP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szCs w:val="24"/>
          <w:lang w:eastAsia="es-CO"/>
        </w:rPr>
        <w:t>c)</w:t>
      </w:r>
      <w:r w:rsidRPr="00A469E6">
        <w:rPr>
          <w:rFonts w:eastAsia="Times New Roman" w:cs="Times New Roman"/>
          <w:szCs w:val="24"/>
          <w:lang w:eastAsia="es-CO"/>
        </w:rPr>
        <w:t xml:space="preserve"> Registrar las transacciones en pesos colombianos de conformidad con lo establecido en el artículo 868-2 del Estatuto Tributario.</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bCs/>
          <w:szCs w:val="24"/>
          <w:lang w:eastAsia="es-CO"/>
        </w:rPr>
        <w:t>2. Reporte de conciliación fiscal</w:t>
      </w:r>
      <w:r w:rsidRPr="00A469E6">
        <w:rPr>
          <w:rFonts w:eastAsia="Times New Roman" w:cs="Times New Roman"/>
          <w:bCs/>
          <w:szCs w:val="24"/>
          <w:lang w:eastAsia="es-CO"/>
        </w:rPr>
        <w:t>.</w:t>
      </w:r>
      <w:r w:rsidRPr="00A469E6">
        <w:rPr>
          <w:rFonts w:eastAsia="Times New Roman" w:cs="Times New Roman"/>
          <w:szCs w:val="24"/>
          <w:lang w:eastAsia="es-CO"/>
        </w:rPr>
        <w:t> Corresponde al informe consolidado de los saldos contables y fiscales, en donde se consolidan y explican las diferencias que surjan entre la aplicación de los marcos técnicos normativos contables y las disposiciones del Estatuto Tributario.</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Este reporte constituye un anexo de la declaración del impuesto sobre la renta y complementario y hará parte integral de la misma, debiendo ser presentado a través del servicio informático electrónico, que para tal efecto establezca la Unidad Administrativa Especial Dirección de Impuestos y Aduanas Nacionales (DIAN).</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bCs/>
          <w:szCs w:val="24"/>
          <w:lang w:eastAsia="es-CO"/>
        </w:rPr>
        <w:t>Parágrafo 1°.</w:t>
      </w:r>
      <w:r w:rsidRPr="00A469E6">
        <w:rPr>
          <w:rFonts w:eastAsia="Times New Roman" w:cs="Times New Roman"/>
          <w:szCs w:val="24"/>
          <w:lang w:eastAsia="es-CO"/>
        </w:rPr>
        <w:t> Cuando el contribuyente corrija la declaración del impuesto de renta y complementario, también deberá corregir el reporte de conciliación fiscal y el control de detalle si a ello hubiere lugar.</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b/>
          <w:szCs w:val="24"/>
          <w:lang w:eastAsia="es-CO"/>
        </w:rPr>
      </w:pPr>
      <w:r w:rsidRPr="00A469E6">
        <w:rPr>
          <w:rFonts w:eastAsia="Times New Roman" w:cs="Times New Roman"/>
          <w:b/>
          <w:bCs/>
          <w:szCs w:val="24"/>
          <w:lang w:eastAsia="es-CO"/>
        </w:rPr>
        <w:t>Parágrafo 2°.</w:t>
      </w:r>
      <w:r w:rsidRPr="00A469E6">
        <w:rPr>
          <w:rFonts w:eastAsia="Times New Roman" w:cs="Times New Roman"/>
          <w:szCs w:val="24"/>
          <w:lang w:eastAsia="es-CO"/>
        </w:rPr>
        <w:t xml:space="preserve"> Cuando las diferencias no corresponden a los sistemas de reconocimiento y medición de los marcos técnicos normativos contables y las disposiciones del Estatuto Tributario, no será necesario llevar la herramienta de control de detalle a que se refiere el numeral 1 de este artículo. </w:t>
      </w:r>
      <w:r w:rsidRPr="00A469E6">
        <w:rPr>
          <w:rFonts w:eastAsia="Times New Roman" w:cs="Times New Roman"/>
          <w:b/>
          <w:szCs w:val="24"/>
          <w:lang w:eastAsia="es-CO"/>
        </w:rPr>
        <w:t xml:space="preserve">Cuando existan diferencias y estas se pueden explicar e </w:t>
      </w:r>
      <w:r w:rsidRPr="00A469E6">
        <w:rPr>
          <w:rFonts w:eastAsia="Times New Roman" w:cs="Times New Roman"/>
          <w:b/>
          <w:szCs w:val="24"/>
          <w:lang w:eastAsia="es-CO"/>
        </w:rPr>
        <w:lastRenderedPageBreak/>
        <w:t>identificar a través del reporte de conciliación fiscal, no será necesario llevar el control de detalle.</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bCs/>
          <w:szCs w:val="24"/>
          <w:lang w:eastAsia="es-CO"/>
        </w:rPr>
        <w:t>Parágrafo 3°.</w:t>
      </w:r>
      <w:r w:rsidRPr="00A469E6">
        <w:rPr>
          <w:rFonts w:eastAsia="Times New Roman" w:cs="Times New Roman"/>
          <w:szCs w:val="24"/>
          <w:lang w:eastAsia="es-CO"/>
        </w:rPr>
        <w:t> El control de detalle, también puede ser utilizado por los contribuyentes para controlar las diferencias que surjan entre el reconocimiento y medición contable y fiscal de otros tipos de impuestos. Cuando una norma de carácter fiscal determine un reconocimiento y/o registro con efectos contables y estos tengan un tratamiento diferente a lo preceptuado en los marcos normativos contables y el marco conceptual, este se realizará a través del control de detalle.</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Cs/>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bCs/>
          <w:szCs w:val="24"/>
          <w:lang w:eastAsia="es-CO"/>
        </w:rPr>
        <w:t>Artículo 1.7.2. </w:t>
      </w:r>
      <w:r w:rsidRPr="00A469E6">
        <w:rPr>
          <w:rFonts w:eastAsia="Times New Roman" w:cs="Times New Roman"/>
          <w:b/>
          <w:bCs/>
          <w:i/>
          <w:iCs/>
          <w:szCs w:val="24"/>
          <w:lang w:eastAsia="es-CO"/>
        </w:rPr>
        <w:t>Sujetos obligados a presentar el reporte de la conciliación fiscal</w:t>
      </w:r>
      <w:r w:rsidRPr="00A469E6">
        <w:rPr>
          <w:rFonts w:eastAsia="Times New Roman" w:cs="Times New Roman"/>
          <w:bCs/>
          <w:i/>
          <w:iCs/>
          <w:szCs w:val="24"/>
          <w:lang w:eastAsia="es-CO"/>
        </w:rPr>
        <w:t>. </w:t>
      </w:r>
      <w:r w:rsidRPr="00A469E6">
        <w:rPr>
          <w:rFonts w:eastAsia="Times New Roman" w:cs="Times New Roman"/>
          <w:szCs w:val="24"/>
          <w:lang w:eastAsia="es-CO"/>
        </w:rPr>
        <w:t>Se encuentran obligados a presentar el reporte de la conciliación fiscal, los contribuyentes del impuesto sobre la renta y complementario obligados a llevar contabilidad o aquellos que de manera voluntaria decidan llevarla.</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b/>
          <w:szCs w:val="24"/>
          <w:lang w:eastAsia="es-CO"/>
        </w:rPr>
      </w:pPr>
      <w:r w:rsidRPr="00A469E6">
        <w:rPr>
          <w:rFonts w:eastAsia="Times New Roman" w:cs="Times New Roman"/>
          <w:b/>
          <w:szCs w:val="24"/>
          <w:lang w:eastAsia="es-CO"/>
        </w:rPr>
        <w:t>No estarán obligados a presentar a través de los servicios informáticos electrónicos el reporte de conciliación fiscal, los contribuyentes que en el año gravable objeto de conciliación, hayan obtenido ingresos brutos fiscales inferiores a 45.000 Unidades de Valor Tributario (UVT).</w:t>
      </w:r>
    </w:p>
    <w:p w:rsidR="00A469E6" w:rsidRPr="00A469E6" w:rsidRDefault="00A469E6" w:rsidP="00A469E6">
      <w:pPr>
        <w:spacing w:line="240" w:lineRule="auto"/>
        <w:ind w:left="180"/>
        <w:rPr>
          <w:rFonts w:eastAsia="Times New Roman" w:cs="Times New Roman"/>
          <w:b/>
          <w:szCs w:val="24"/>
          <w:lang w:eastAsia="es-CO"/>
        </w:rPr>
      </w:pPr>
      <w:r w:rsidRPr="00A469E6">
        <w:rPr>
          <w:rFonts w:eastAsia="Times New Roman" w:cs="Times New Roman"/>
          <w:b/>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Sin perjuicio de lo anterior, el reporte de conciliación fiscal deberá estar debidamente diligenciado en el formato que se prescriba para tal fin y encontrarse a disposición de la Unidad Administrativa Especial Dirección de Impuestos y Aduanas Nacionales (DIAN) cuando esta lo requiera.</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bCs/>
          <w:szCs w:val="24"/>
          <w:lang w:eastAsia="es-CO"/>
        </w:rPr>
        <w:t>Parágrafo 1°.</w:t>
      </w:r>
      <w:r w:rsidRPr="00A469E6">
        <w:rPr>
          <w:rFonts w:eastAsia="Times New Roman" w:cs="Times New Roman"/>
          <w:szCs w:val="24"/>
          <w:lang w:eastAsia="es-CO"/>
        </w:rPr>
        <w:t> Los obligados a llevar contabilidad o quienes decidan llevarla de manera voluntaria, deberán actualizar el RUT con el grupo contable al cual pertenecen, so pena de hacerse acreedor de las sanciones de que trata el </w:t>
      </w:r>
      <w:hyperlink r:id="rId8" w:tooltip="Estatuto Tributario CETA" w:history="1">
        <w:r w:rsidRPr="00A469E6">
          <w:rPr>
            <w:rFonts w:eastAsia="Times New Roman" w:cs="Times New Roman"/>
            <w:szCs w:val="24"/>
            <w:lang w:eastAsia="es-CO"/>
          </w:rPr>
          <w:t>artículo 658-3</w:t>
        </w:r>
      </w:hyperlink>
      <w:r w:rsidRPr="00A469E6">
        <w:rPr>
          <w:rFonts w:eastAsia="Times New Roman" w:cs="Times New Roman"/>
          <w:szCs w:val="24"/>
          <w:lang w:eastAsia="es-CO"/>
        </w:rPr>
        <w:t> del Estatuto Tributario.</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b/>
          <w:szCs w:val="24"/>
          <w:lang w:eastAsia="es-CO"/>
        </w:rPr>
      </w:pPr>
      <w:r w:rsidRPr="00A469E6">
        <w:rPr>
          <w:rFonts w:eastAsia="Times New Roman" w:cs="Times New Roman"/>
          <w:b/>
          <w:bCs/>
          <w:szCs w:val="24"/>
          <w:lang w:eastAsia="es-CO"/>
        </w:rPr>
        <w:t>Parágrafo 2°.</w:t>
      </w:r>
      <w:r w:rsidRPr="00A469E6">
        <w:rPr>
          <w:rFonts w:eastAsia="Times New Roman" w:cs="Times New Roman"/>
          <w:szCs w:val="24"/>
          <w:lang w:eastAsia="es-CO"/>
        </w:rPr>
        <w:t> </w:t>
      </w:r>
      <w:r w:rsidRPr="00A469E6">
        <w:rPr>
          <w:rFonts w:eastAsia="Times New Roman" w:cs="Times New Roman"/>
          <w:b/>
          <w:szCs w:val="24"/>
          <w:lang w:eastAsia="es-CO"/>
        </w:rPr>
        <w:t>El contenido, las especificaciones técnicas, plazos de presentación del reporte de conciliación fiscal, serán prescritas por el Director General de la Unidad Administrativa Especial Dirección de Impuestos y Aduanas Nacionales (DIAN).</w:t>
      </w:r>
    </w:p>
    <w:p w:rsidR="00A469E6" w:rsidRPr="00A469E6" w:rsidRDefault="00A469E6" w:rsidP="00A469E6">
      <w:pPr>
        <w:spacing w:line="240" w:lineRule="auto"/>
        <w:ind w:left="180"/>
        <w:rPr>
          <w:rFonts w:eastAsia="Times New Roman" w:cs="Times New Roman"/>
          <w:b/>
          <w:szCs w:val="24"/>
          <w:lang w:eastAsia="es-CO"/>
        </w:rPr>
      </w:pPr>
      <w:r w:rsidRPr="00A469E6">
        <w:rPr>
          <w:rFonts w:eastAsia="Times New Roman" w:cs="Times New Roman"/>
          <w:b/>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Así mismo, el Director General de la Unidad Administrativa Especial Dirección de Impuestos y Aduanas Nacionales (DIAN) podrá determinar los contribuyentes que deban presentar el reporte de conciliación fiscal como anexo a la declaración del impuesto sobre la renta y complementario, independientemente de los que cumplan el presupuesto establecido en el inciso segundo de este artículo.</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bCs/>
          <w:szCs w:val="24"/>
          <w:lang w:eastAsia="es-CO"/>
        </w:rPr>
        <w:t>Parágrafo 3°.</w:t>
      </w:r>
      <w:r w:rsidRPr="00A469E6">
        <w:rPr>
          <w:rFonts w:eastAsia="Times New Roman" w:cs="Times New Roman"/>
          <w:szCs w:val="24"/>
          <w:lang w:eastAsia="es-CO"/>
        </w:rPr>
        <w:t xml:space="preserve"> No se encuentran obligados a la conciliación fiscal de que tratan los artículos 1.7.1. </w:t>
      </w:r>
      <w:proofErr w:type="gramStart"/>
      <w:r w:rsidRPr="00A469E6">
        <w:rPr>
          <w:rFonts w:eastAsia="Times New Roman" w:cs="Times New Roman"/>
          <w:szCs w:val="24"/>
          <w:lang w:eastAsia="es-CO"/>
        </w:rPr>
        <w:t>y</w:t>
      </w:r>
      <w:proofErr w:type="gramEnd"/>
      <w:r w:rsidRPr="00A469E6">
        <w:rPr>
          <w:rFonts w:eastAsia="Times New Roman" w:cs="Times New Roman"/>
          <w:szCs w:val="24"/>
          <w:lang w:eastAsia="es-CO"/>
        </w:rPr>
        <w:t xml:space="preserve"> 1.7.2. </w:t>
      </w:r>
      <w:proofErr w:type="gramStart"/>
      <w:r w:rsidRPr="00A469E6">
        <w:rPr>
          <w:rFonts w:eastAsia="Times New Roman" w:cs="Times New Roman"/>
          <w:szCs w:val="24"/>
          <w:lang w:eastAsia="es-CO"/>
        </w:rPr>
        <w:t>de</w:t>
      </w:r>
      <w:proofErr w:type="gramEnd"/>
      <w:r w:rsidRPr="00A469E6">
        <w:rPr>
          <w:rFonts w:eastAsia="Times New Roman" w:cs="Times New Roman"/>
          <w:szCs w:val="24"/>
          <w:lang w:eastAsia="es-CO"/>
        </w:rPr>
        <w:t xml:space="preserve"> este Decreto los no contribuyentes del impuesto de renta y complementarios, salvo que por disposición especial se encuentren gravados con el impuesto sobre la renta y complementario por alguna de las operaciones o actividades que realicen.</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Cs/>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bCs/>
          <w:szCs w:val="24"/>
          <w:lang w:eastAsia="es-CO"/>
        </w:rPr>
        <w:t>Artículo 1.7.3. </w:t>
      </w:r>
      <w:r w:rsidRPr="00A469E6">
        <w:rPr>
          <w:rFonts w:eastAsia="Times New Roman" w:cs="Times New Roman"/>
          <w:b/>
          <w:bCs/>
          <w:i/>
          <w:iCs/>
          <w:szCs w:val="24"/>
          <w:lang w:eastAsia="es-CO"/>
        </w:rPr>
        <w:t>Conservación y exhibición de la conciliación fiscal</w:t>
      </w:r>
      <w:r w:rsidRPr="00A469E6">
        <w:rPr>
          <w:rFonts w:eastAsia="Times New Roman" w:cs="Times New Roman"/>
          <w:bCs/>
          <w:i/>
          <w:iCs/>
          <w:szCs w:val="24"/>
          <w:lang w:eastAsia="es-CO"/>
        </w:rPr>
        <w:t>. </w:t>
      </w:r>
      <w:r w:rsidRPr="00A469E6">
        <w:rPr>
          <w:rFonts w:eastAsia="Times New Roman" w:cs="Times New Roman"/>
          <w:szCs w:val="24"/>
          <w:lang w:eastAsia="es-CO"/>
        </w:rPr>
        <w:t>La conciliación fiscal deberá conservarse por el término de firmeza de la declaración de renta y complementario del año gravable al cual corresponda, de conformidad con el </w:t>
      </w:r>
      <w:hyperlink r:id="rId9" w:tooltip="Estatuto Tributario CETA" w:history="1">
        <w:r w:rsidRPr="00A469E6">
          <w:rPr>
            <w:rFonts w:eastAsia="Times New Roman" w:cs="Times New Roman"/>
            <w:szCs w:val="24"/>
            <w:lang w:eastAsia="es-CO"/>
          </w:rPr>
          <w:t>artículo 632</w:t>
        </w:r>
      </w:hyperlink>
      <w:r w:rsidRPr="00A469E6">
        <w:rPr>
          <w:rFonts w:eastAsia="Times New Roman" w:cs="Times New Roman"/>
          <w:szCs w:val="24"/>
          <w:lang w:eastAsia="es-CO"/>
        </w:rPr>
        <w:t> del Estatuto Tributario, modificado por el artículo 46 de la Ley 962 de 2005 y el artículo 304 de la Ley 1819 de 2016, y ponerse a disposición de la Administración Tributaria, cuando ésta así lo requiera. La conciliación fiscal tendrá pleno valor probatorio en los términos de los artículos 772 a 775 del Estatuto Tributario.</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bCs/>
          <w:szCs w:val="24"/>
          <w:lang w:eastAsia="es-CO"/>
        </w:rPr>
        <w:t>Parágrafo</w:t>
      </w:r>
      <w:r w:rsidRPr="00A469E6">
        <w:rPr>
          <w:rFonts w:eastAsia="Times New Roman" w:cs="Times New Roman"/>
          <w:bCs/>
          <w:szCs w:val="24"/>
          <w:lang w:eastAsia="es-CO"/>
        </w:rPr>
        <w:t>.</w:t>
      </w:r>
      <w:r w:rsidRPr="00A469E6">
        <w:rPr>
          <w:rFonts w:eastAsia="Times New Roman" w:cs="Times New Roman"/>
          <w:szCs w:val="24"/>
          <w:lang w:eastAsia="es-CO"/>
        </w:rPr>
        <w:t> La Unidad Administrativa Especial Dirección de Impuestos y Aduanas Nacionales (DIAN), en uso de las facultades otorgadas por el parágrafo del </w:t>
      </w:r>
      <w:hyperlink r:id="rId10" w:tooltip="Estatuto Tributario CETA" w:history="1">
        <w:r w:rsidRPr="00A469E6">
          <w:rPr>
            <w:rFonts w:eastAsia="Times New Roman" w:cs="Times New Roman"/>
            <w:szCs w:val="24"/>
            <w:lang w:eastAsia="es-CO"/>
          </w:rPr>
          <w:t>artículo 684</w:t>
        </w:r>
      </w:hyperlink>
      <w:r w:rsidRPr="00A469E6">
        <w:rPr>
          <w:rFonts w:eastAsia="Times New Roman" w:cs="Times New Roman"/>
          <w:szCs w:val="24"/>
          <w:lang w:eastAsia="es-CO"/>
        </w:rPr>
        <w:t xml:space="preserve"> del </w:t>
      </w:r>
      <w:r w:rsidRPr="00A469E6">
        <w:rPr>
          <w:rFonts w:eastAsia="Times New Roman" w:cs="Times New Roman"/>
          <w:szCs w:val="24"/>
          <w:lang w:eastAsia="es-CO"/>
        </w:rPr>
        <w:lastRenderedPageBreak/>
        <w:t xml:space="preserve">Estatuto Tributario, podrá solicitar la trasmisión electrónica del control de detalle a que se refiere el numeral 1 del Artículo 1.7.1. </w:t>
      </w:r>
      <w:proofErr w:type="gramStart"/>
      <w:r w:rsidRPr="00A469E6">
        <w:rPr>
          <w:rFonts w:eastAsia="Times New Roman" w:cs="Times New Roman"/>
          <w:szCs w:val="24"/>
          <w:lang w:eastAsia="es-CO"/>
        </w:rPr>
        <w:t>de</w:t>
      </w:r>
      <w:proofErr w:type="gramEnd"/>
      <w:r w:rsidRPr="00A469E6">
        <w:rPr>
          <w:rFonts w:eastAsia="Times New Roman" w:cs="Times New Roman"/>
          <w:szCs w:val="24"/>
          <w:lang w:eastAsia="es-CO"/>
        </w:rPr>
        <w:t xml:space="preserve"> este Decreto.</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b/>
          <w:szCs w:val="24"/>
          <w:lang w:eastAsia="es-CO"/>
        </w:rPr>
      </w:pPr>
      <w:r w:rsidRPr="00A469E6">
        <w:rPr>
          <w:rFonts w:eastAsia="Times New Roman" w:cs="Times New Roman"/>
          <w:b/>
          <w:szCs w:val="24"/>
          <w:lang w:eastAsia="es-CO"/>
        </w:rPr>
        <w:t>El Director General de la Unidad Administrativa Especial Dirección de Impuestos y Aduanas Nacionales (DIAN), prescribirá los términos y condiciones para estos efectos.</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Cs/>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bCs/>
          <w:szCs w:val="24"/>
          <w:lang w:eastAsia="es-CO"/>
        </w:rPr>
        <w:t>Artículo 1.7.4. </w:t>
      </w:r>
      <w:r w:rsidRPr="00A469E6">
        <w:rPr>
          <w:rFonts w:eastAsia="Times New Roman" w:cs="Times New Roman"/>
          <w:b/>
          <w:bCs/>
          <w:i/>
          <w:iCs/>
          <w:szCs w:val="24"/>
          <w:lang w:eastAsia="es-CO"/>
        </w:rPr>
        <w:t>Prescripción del reporte de conciliación fiscal</w:t>
      </w:r>
      <w:r w:rsidRPr="00A469E6">
        <w:rPr>
          <w:rFonts w:eastAsia="Times New Roman" w:cs="Times New Roman"/>
          <w:bCs/>
          <w:i/>
          <w:iCs/>
          <w:szCs w:val="24"/>
          <w:lang w:eastAsia="es-CO"/>
        </w:rPr>
        <w:t>. </w:t>
      </w:r>
      <w:r w:rsidRPr="00A469E6">
        <w:rPr>
          <w:rFonts w:eastAsia="Times New Roman" w:cs="Times New Roman"/>
          <w:szCs w:val="24"/>
          <w:lang w:eastAsia="es-CO"/>
        </w:rPr>
        <w:t>El formato para el reporte de la conciliación fiscal, será definido por la Dirección de Impuestos y Aduanas Nacionales con por lo menos con dos (2) meses de anterioridad, al último día del año gravable anterior al cual corresponda el reporte de conciliación fiscal. En todo caso la no prescripción del mismo, se entiende que continua vigente el del año anterior.</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b/>
          <w:szCs w:val="24"/>
          <w:lang w:eastAsia="es-CO"/>
        </w:rPr>
      </w:pPr>
      <w:r w:rsidRPr="00A469E6">
        <w:rPr>
          <w:rFonts w:eastAsia="Times New Roman" w:cs="Times New Roman"/>
          <w:b/>
          <w:bCs/>
          <w:szCs w:val="24"/>
          <w:lang w:eastAsia="es-CO"/>
        </w:rPr>
        <w:t>Parágrafo transitorio</w:t>
      </w:r>
      <w:r w:rsidRPr="00A469E6">
        <w:rPr>
          <w:rFonts w:eastAsia="Times New Roman" w:cs="Times New Roman"/>
          <w:bCs/>
          <w:szCs w:val="24"/>
          <w:lang w:eastAsia="es-CO"/>
        </w:rPr>
        <w:t>:</w:t>
      </w:r>
      <w:r w:rsidRPr="00A469E6">
        <w:rPr>
          <w:rFonts w:eastAsia="Times New Roman" w:cs="Times New Roman"/>
          <w:szCs w:val="24"/>
          <w:lang w:eastAsia="es-CO"/>
        </w:rPr>
        <w:t> </w:t>
      </w:r>
      <w:r w:rsidRPr="00A469E6">
        <w:rPr>
          <w:rFonts w:eastAsia="Times New Roman" w:cs="Times New Roman"/>
          <w:b/>
          <w:szCs w:val="24"/>
          <w:lang w:eastAsia="es-CO"/>
        </w:rPr>
        <w:t>La U.A.E. Dirección de Impuestos y Aduanas Nacionales (DIAN) definirá para el año gravable 2017 el formato de reporte de la conciliación fiscal a más tardar el 29 de diciembre de 2017 y las especificaciones técnicas, los plazos y condiciones de presentación serán prescritos antes del 31 de marzo de 2018.</w:t>
      </w:r>
    </w:p>
    <w:p w:rsidR="00A469E6" w:rsidRPr="00A469E6" w:rsidRDefault="00A469E6" w:rsidP="00A469E6">
      <w:pPr>
        <w:spacing w:line="240" w:lineRule="auto"/>
        <w:ind w:left="180"/>
        <w:rPr>
          <w:rFonts w:eastAsia="Times New Roman" w:cs="Times New Roman"/>
          <w:b/>
          <w:szCs w:val="24"/>
          <w:lang w:eastAsia="es-CO"/>
        </w:rPr>
      </w:pPr>
      <w:r w:rsidRPr="00A469E6">
        <w:rPr>
          <w:rFonts w:eastAsia="Times New Roman" w:cs="Times New Roman"/>
          <w:b/>
          <w:szCs w:val="24"/>
          <w:lang w:eastAsia="es-CO"/>
        </w:rPr>
        <w:t> </w:t>
      </w:r>
    </w:p>
    <w:p w:rsidR="00A469E6" w:rsidRPr="00A469E6" w:rsidRDefault="00A469E6" w:rsidP="00A469E6">
      <w:pPr>
        <w:spacing w:line="240" w:lineRule="auto"/>
        <w:ind w:left="180"/>
        <w:rPr>
          <w:rFonts w:eastAsia="Times New Roman" w:cs="Times New Roman"/>
          <w:b/>
          <w:szCs w:val="24"/>
          <w:lang w:eastAsia="es-CO"/>
        </w:rPr>
      </w:pPr>
      <w:r w:rsidRPr="00A469E6">
        <w:rPr>
          <w:rFonts w:eastAsia="Times New Roman" w:cs="Times New Roman"/>
          <w:b/>
          <w:szCs w:val="24"/>
          <w:lang w:eastAsia="es-CO"/>
        </w:rPr>
        <w:t>Para el año gravable 2018 se prescribirá el formato de reporte de conciliación fiscal, las especificaciones técnicas, los plazos y condiciones de presentación a más tardar el 31 de octubre de 2018.</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ind w:left="180"/>
        <w:rPr>
          <w:rFonts w:eastAsia="Times New Roman" w:cs="Times New Roman"/>
          <w:b/>
          <w:szCs w:val="24"/>
          <w:lang w:eastAsia="es-CO"/>
        </w:rPr>
      </w:pPr>
      <w:r w:rsidRPr="00A469E6">
        <w:rPr>
          <w:rFonts w:eastAsia="Times New Roman" w:cs="Times New Roman"/>
          <w:b/>
          <w:szCs w:val="24"/>
          <w:lang w:eastAsia="es-CO"/>
        </w:rPr>
        <w:t xml:space="preserve">Las condiciones y requisitos del control de detalle a que se refiere el numeral 1 del Artículo 1.7.1. </w:t>
      </w:r>
      <w:proofErr w:type="gramStart"/>
      <w:r w:rsidRPr="00A469E6">
        <w:rPr>
          <w:rFonts w:eastAsia="Times New Roman" w:cs="Times New Roman"/>
          <w:b/>
          <w:szCs w:val="24"/>
          <w:lang w:eastAsia="es-CO"/>
        </w:rPr>
        <w:t>de</w:t>
      </w:r>
      <w:proofErr w:type="gramEnd"/>
      <w:r w:rsidRPr="00A469E6">
        <w:rPr>
          <w:rFonts w:eastAsia="Times New Roman" w:cs="Times New Roman"/>
          <w:b/>
          <w:szCs w:val="24"/>
          <w:lang w:eastAsia="es-CO"/>
        </w:rPr>
        <w:t xml:space="preserve"> este Decreto, aplicarán a partir del año gravable 2018. En todo caso para el año gravable 2017, los contribuyentes deberán probar las diferencias que resulten entre lo contable y lo fiscal bajo los sistemas que tengan implementados y los medios de prueba idóneos.</w:t>
      </w:r>
    </w:p>
    <w:p w:rsidR="00A469E6" w:rsidRPr="00A469E6" w:rsidRDefault="00A469E6" w:rsidP="00A469E6">
      <w:pPr>
        <w:spacing w:line="240" w:lineRule="auto"/>
        <w:ind w:left="180"/>
        <w:rPr>
          <w:rFonts w:eastAsia="Times New Roman" w:cs="Times New Roman"/>
          <w:b/>
          <w:szCs w:val="24"/>
          <w:lang w:eastAsia="es-CO"/>
        </w:rPr>
      </w:pPr>
      <w:r w:rsidRPr="00A469E6">
        <w:rPr>
          <w:rFonts w:eastAsia="Times New Roman" w:cs="Times New Roman"/>
          <w:b/>
          <w:bCs/>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bCs/>
          <w:szCs w:val="24"/>
          <w:lang w:eastAsia="es-CO"/>
        </w:rPr>
        <w:t>Artículo 1.7.5. </w:t>
      </w:r>
      <w:r w:rsidRPr="00A469E6">
        <w:rPr>
          <w:rFonts w:eastAsia="Times New Roman" w:cs="Times New Roman"/>
          <w:b/>
          <w:bCs/>
          <w:i/>
          <w:iCs/>
          <w:szCs w:val="24"/>
          <w:lang w:eastAsia="es-CO"/>
        </w:rPr>
        <w:t>Incumplimiento</w:t>
      </w:r>
      <w:r w:rsidRPr="00A469E6">
        <w:rPr>
          <w:rFonts w:eastAsia="Times New Roman" w:cs="Times New Roman"/>
          <w:bCs/>
          <w:i/>
          <w:iCs/>
          <w:szCs w:val="24"/>
          <w:lang w:eastAsia="es-CO"/>
        </w:rPr>
        <w:t>. </w:t>
      </w:r>
      <w:r w:rsidRPr="00A469E6">
        <w:rPr>
          <w:rFonts w:eastAsia="Times New Roman" w:cs="Times New Roman"/>
          <w:szCs w:val="24"/>
          <w:lang w:eastAsia="es-CO"/>
        </w:rPr>
        <w:t>El incumplimiento de la obligación formal de la conciliación fiscal, se considera para efectos sancionatorios como una irregularidad en la contabilidad, sancionable de acuerdo con el </w:t>
      </w:r>
      <w:hyperlink r:id="rId11" w:tooltip="Estatuto Tributario CETA" w:history="1">
        <w:r w:rsidRPr="00A469E6">
          <w:rPr>
            <w:rFonts w:eastAsia="Times New Roman" w:cs="Times New Roman"/>
            <w:szCs w:val="24"/>
            <w:lang w:eastAsia="es-CO"/>
          </w:rPr>
          <w:t>artículo 655</w:t>
        </w:r>
      </w:hyperlink>
      <w:r w:rsidRPr="00A469E6">
        <w:rPr>
          <w:rFonts w:eastAsia="Times New Roman" w:cs="Times New Roman"/>
          <w:szCs w:val="24"/>
          <w:lang w:eastAsia="es-CO"/>
        </w:rPr>
        <w:t> del Estatuto Tributario.</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Cs/>
          <w:szCs w:val="24"/>
          <w:lang w:eastAsia="es-CO"/>
        </w:rPr>
        <w:t> </w:t>
      </w:r>
    </w:p>
    <w:p w:rsidR="00A469E6" w:rsidRPr="00A469E6" w:rsidRDefault="00A469E6" w:rsidP="00A469E6">
      <w:pPr>
        <w:spacing w:line="240" w:lineRule="auto"/>
        <w:ind w:left="180"/>
        <w:rPr>
          <w:rFonts w:eastAsia="Times New Roman" w:cs="Times New Roman"/>
          <w:szCs w:val="24"/>
          <w:lang w:eastAsia="es-CO"/>
        </w:rPr>
      </w:pPr>
      <w:r w:rsidRPr="00A469E6">
        <w:rPr>
          <w:rFonts w:eastAsia="Times New Roman" w:cs="Times New Roman"/>
          <w:b/>
          <w:bCs/>
          <w:szCs w:val="24"/>
          <w:lang w:eastAsia="es-CO"/>
        </w:rPr>
        <w:t>Artículo 1.7.6. </w:t>
      </w:r>
      <w:r w:rsidRPr="00A469E6">
        <w:rPr>
          <w:rFonts w:eastAsia="Times New Roman" w:cs="Times New Roman"/>
          <w:b/>
          <w:bCs/>
          <w:i/>
          <w:iCs/>
          <w:szCs w:val="24"/>
          <w:lang w:eastAsia="es-CO"/>
        </w:rPr>
        <w:t>Moneda funcional</w:t>
      </w:r>
      <w:r w:rsidRPr="00A469E6">
        <w:rPr>
          <w:rFonts w:eastAsia="Times New Roman" w:cs="Times New Roman"/>
          <w:bCs/>
          <w:i/>
          <w:iCs/>
          <w:szCs w:val="24"/>
          <w:lang w:eastAsia="es-CO"/>
        </w:rPr>
        <w:t>. </w:t>
      </w:r>
      <w:r w:rsidRPr="00A469E6">
        <w:rPr>
          <w:rFonts w:eastAsia="Times New Roman" w:cs="Times New Roman"/>
          <w:szCs w:val="24"/>
          <w:lang w:eastAsia="es-CO"/>
        </w:rPr>
        <w:t>Cuando el contribuyente lleve su contabilidad en una moneda funcional diferente al peso colombiano, para efectos fiscales deberá tener a disposición de la administración tributaria, el detalle de la conversión de la moneda funcional al peso colombiano, de conformidad con lo establecido en el artículo 1.1.3 de este Decreto.”.</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b/>
          <w:bCs/>
          <w:szCs w:val="24"/>
          <w:lang w:eastAsia="es-CO"/>
        </w:rPr>
        <w:t>Artículo 2°.</w:t>
      </w:r>
      <w:r w:rsidRPr="00A469E6">
        <w:rPr>
          <w:rFonts w:eastAsia="Times New Roman" w:cs="Times New Roman"/>
          <w:b/>
          <w:szCs w:val="24"/>
          <w:lang w:eastAsia="es-CO"/>
        </w:rPr>
        <w:t> </w:t>
      </w:r>
      <w:r w:rsidRPr="00A469E6">
        <w:rPr>
          <w:rFonts w:eastAsia="Times New Roman" w:cs="Times New Roman"/>
          <w:b/>
          <w:i/>
          <w:iCs/>
          <w:szCs w:val="24"/>
          <w:lang w:eastAsia="es-CO"/>
        </w:rPr>
        <w:t>Vigencia</w:t>
      </w:r>
      <w:r w:rsidRPr="00A469E6">
        <w:rPr>
          <w:rFonts w:eastAsia="Times New Roman" w:cs="Times New Roman"/>
          <w:i/>
          <w:iCs/>
          <w:szCs w:val="24"/>
          <w:lang w:eastAsia="es-CO"/>
        </w:rPr>
        <w:t>. </w:t>
      </w:r>
      <w:r w:rsidRPr="00A469E6">
        <w:rPr>
          <w:rFonts w:eastAsia="Times New Roman" w:cs="Times New Roman"/>
          <w:szCs w:val="24"/>
          <w:lang w:eastAsia="es-CO"/>
        </w:rPr>
        <w:t>El presente decreto rige a partir de la fecha de su publicación, y sustituye la Parte 7 del Libro Primero del Decreto 1625 de 2016, Único Reglamentario en Materia Tributaria.</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 </w:t>
      </w:r>
    </w:p>
    <w:p w:rsidR="00A469E6" w:rsidRPr="00A469E6" w:rsidRDefault="00A469E6" w:rsidP="00A469E6">
      <w:pPr>
        <w:spacing w:line="240" w:lineRule="auto"/>
        <w:rPr>
          <w:rFonts w:eastAsia="Times New Roman" w:cs="Times New Roman"/>
          <w:szCs w:val="24"/>
          <w:lang w:eastAsia="es-CO"/>
        </w:rPr>
      </w:pPr>
      <w:r w:rsidRPr="00A469E6">
        <w:rPr>
          <w:rFonts w:eastAsia="Times New Roman" w:cs="Times New Roman"/>
          <w:bCs/>
          <w:szCs w:val="24"/>
          <w:lang w:eastAsia="es-CO"/>
        </w:rPr>
        <w:t>Publíquese, y cúmplase.</w:t>
      </w:r>
    </w:p>
    <w:p w:rsidR="00A469E6" w:rsidRDefault="00A469E6" w:rsidP="00A469E6">
      <w:pPr>
        <w:spacing w:line="240" w:lineRule="auto"/>
        <w:rPr>
          <w:rFonts w:eastAsia="Times New Roman" w:cs="Times New Roman"/>
          <w:szCs w:val="24"/>
          <w:lang w:eastAsia="es-CO"/>
        </w:rPr>
      </w:pPr>
      <w:r w:rsidRPr="00A469E6">
        <w:rPr>
          <w:rFonts w:eastAsia="Times New Roman" w:cs="Times New Roman"/>
          <w:szCs w:val="24"/>
          <w:lang w:eastAsia="es-CO"/>
        </w:rPr>
        <w:t>Dado en Bogotá, D. C., a 30 de noviembre de 2017.</w:t>
      </w:r>
      <w:bookmarkStart w:id="0" w:name="_GoBack"/>
      <w:bookmarkEnd w:id="0"/>
    </w:p>
    <w:p w:rsidR="00A469E6" w:rsidRPr="00A469E6" w:rsidRDefault="00A469E6" w:rsidP="00A469E6">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w:t>
      </w:r>
    </w:p>
    <w:p w:rsidR="00961BFA" w:rsidRPr="00A469E6" w:rsidRDefault="00961BFA" w:rsidP="00A469E6">
      <w:pPr>
        <w:rPr>
          <w:rFonts w:cs="Times New Roman"/>
          <w:szCs w:val="24"/>
        </w:rPr>
      </w:pPr>
    </w:p>
    <w:sectPr w:rsidR="00961BFA" w:rsidRPr="00A469E6"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E6"/>
    <w:rsid w:val="0029351E"/>
    <w:rsid w:val="005F4196"/>
    <w:rsid w:val="00961BFA"/>
    <w:rsid w:val="00A469E6"/>
    <w:rsid w:val="00B94BED"/>
    <w:rsid w:val="00E3651C"/>
    <w:rsid w:val="00E75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26D4B-5FEE-4E00-8BCA-D26EDB0F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4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604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4248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488" TargetMode="External"/><Relationship Id="rId11" Type="http://schemas.openxmlformats.org/officeDocument/2006/relationships/hyperlink" Target="https://www.ceta.org.co/html/vista_de_un_articulo.asp?Norma=815" TargetMode="External"/><Relationship Id="rId5" Type="http://schemas.openxmlformats.org/officeDocument/2006/relationships/hyperlink" Target="https://www.ceta.org.co/html/vista_de_un_articulo.asp?Norma=42488" TargetMode="External"/><Relationship Id="rId10" Type="http://schemas.openxmlformats.org/officeDocument/2006/relationships/hyperlink" Target="https://www.ceta.org.co/html/vista_de_un_articulo.asp?Norma=851" TargetMode="External"/><Relationship Id="rId4" Type="http://schemas.openxmlformats.org/officeDocument/2006/relationships/hyperlink" Target="https://www.ceta.org.co/html/vista_de_un_articulo.asp?Norma=42488" TargetMode="External"/><Relationship Id="rId9" Type="http://schemas.openxmlformats.org/officeDocument/2006/relationships/hyperlink" Target="https://www.ceta.org.co/html/vista_de_un_articulo.asp?Norma=78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2021</Words>
  <Characters>11120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2017-12-31T14:14:00Z</dcterms:created>
  <dcterms:modified xsi:type="dcterms:W3CDTF">2017-12-31T14:27:00Z</dcterms:modified>
</cp:coreProperties>
</file>