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CONSEJO DE ESTADO</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SALA DE LO CONTENCIOSO ADMINISTRATIVO</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SECCIÓN CUARTA</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CONSEJERO PONENTE: JULIO ROBERTO PIZA RODRÍGUEZ</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Bogotá D.C., veinticinco (25) de octubre de dos mil diecisiete (2017)</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Radicación número: 05001 23 31 000 2006 03646 01</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No. Interno: 20849</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Demandante: C.I. CREAMODA S.A. EN LIQUIDACIÓN</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Demandado: U.A.E. DIAN</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TEMA: Retención en la fuente</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Subtema: Régimen sancionatorio</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SENTENCIA SEGUNDA INSTANCIA</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 xml:space="preserve">F A L </w:t>
      </w:r>
      <w:proofErr w:type="spellStart"/>
      <w:r w:rsidRPr="003370F7">
        <w:rPr>
          <w:rFonts w:eastAsia="Times New Roman" w:cs="Times New Roman"/>
          <w:b/>
          <w:bCs/>
          <w:szCs w:val="24"/>
          <w:lang w:eastAsia="es-CO"/>
        </w:rPr>
        <w:t>L</w:t>
      </w:r>
      <w:proofErr w:type="spellEnd"/>
      <w:r w:rsidRPr="003370F7">
        <w:rPr>
          <w:rFonts w:eastAsia="Times New Roman" w:cs="Times New Roman"/>
          <w:b/>
          <w:bCs/>
          <w:szCs w:val="24"/>
          <w:lang w:eastAsia="es-CO"/>
        </w:rPr>
        <w:t xml:space="preserve"> 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La Sala decide el recurso de apelación interpuesto por el apoderado judicial de la sociedad CI Creaciones de Moda S.A. (en adelante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contra la sentencia del 17 de octubre de 2013, proferida por el Tribunal Administrativo de Antioquia, que denegó las pretensiones de la acción de nulidad y restablecimiento del derecho incoada contra la Resolución Sanción No. 110642005000080 del 17 de mayo de 2005 y su confirmatoria la Resolución No. 110662006000022 del 9 de junio de 2006, por medio de las que se impuso sanción por no declarar el período 4 de 2003 de retención en la fuente.</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1. ANTECEDENTES DE LA ACTUACIÓN ADMINISTRATIVA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El 16 de mayo de 2005, la DIAN expidió el emplazamiento para declarar No. 110632005000032, mediante el que invitó a la contribuyente a presentar la declaración de retención en la fuente por el período 4 de 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Luego de la respuesta al mencionado emplazamiento, el 17 de junio de 2005, la DIAN, mediante la Resolución No. 110642005000080, impuso una sanción por valor de $133.574.000, por no presentar la declaración de retención en la fuente por el período 4 de 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 El 18 de julio de 2005,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presentó recurso de reconsideración, resuelto en forma negativa el 9 de junio de 2006, en la resolución No. 11066200600022.</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2. ANTECEDENTES PROCESALES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2.1. LA DEMANDA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S.A., mediante apoderado judicial, presentó acción de nulidad y restablecimiento del derecho contra la Resolución Sanción No. 110642005000080 del 17 de junio de 2005 y su confirmatoria la Resolución No. 11066200600022 del 9 de junio de 2006, proferidas por la UAE DIAN.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 continuación, solicitó las siguientes declaraciones y condenas:</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“Con fundamento en los hechos y los razonamientos jurídicos expuestos en este escrito, con todo respeto demando ante el Honorable Tribunal, que se decrete la nulidad de los actos administrativos acusados y enunciados en el punto No. 2 de este escrito, por cuanto la sanción por no declarar la retención en la fuente del período 4 de 2003 impuesta a C.I. CREAMODA S.A. no es procedente en virtud de falta de adecuación típica de la conducta de falsa motivación y de violación de las normas superiores citadas.</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A título de restablecimiento del derecho, solicito que se declare que C.I. CREAMODA S.A. EN LIQUIDACIÓN, no está obligada a pagar la sanción impuesta mediante los actos acusados.”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2.1.1. Normas violadas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demandante invocó como violadas las siguientes normas:</w:t>
      </w:r>
    </w:p>
    <w:p w:rsidR="003370F7" w:rsidRPr="003370F7" w:rsidRDefault="003370F7" w:rsidP="003370F7">
      <w:pPr>
        <w:spacing w:line="240" w:lineRule="auto"/>
        <w:ind w:left="450" w:hanging="27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450" w:hanging="270"/>
        <w:rPr>
          <w:rFonts w:eastAsia="Times New Roman" w:cs="Times New Roman"/>
          <w:szCs w:val="24"/>
          <w:lang w:eastAsia="es-CO"/>
        </w:rPr>
      </w:pPr>
      <w:r w:rsidRPr="003370F7">
        <w:rPr>
          <w:rFonts w:eastAsia="Times New Roman" w:cs="Times New Roman"/>
          <w:szCs w:val="24"/>
          <w:lang w:eastAsia="es-CO"/>
        </w:rPr>
        <w:t>·      Artículo 29, 83 y 363 de la Constitución Política.</w:t>
      </w:r>
    </w:p>
    <w:p w:rsidR="003370F7" w:rsidRPr="003370F7" w:rsidRDefault="003370F7" w:rsidP="003370F7">
      <w:pPr>
        <w:spacing w:line="240" w:lineRule="auto"/>
        <w:ind w:left="450" w:hanging="270"/>
        <w:rPr>
          <w:rFonts w:eastAsia="Times New Roman" w:cs="Times New Roman"/>
          <w:szCs w:val="24"/>
          <w:lang w:eastAsia="es-CO"/>
        </w:rPr>
      </w:pPr>
      <w:r w:rsidRPr="003370F7">
        <w:rPr>
          <w:rFonts w:eastAsia="Times New Roman" w:cs="Times New Roman"/>
          <w:szCs w:val="24"/>
          <w:lang w:eastAsia="es-CO"/>
        </w:rPr>
        <w:t>·      Artículos </w:t>
      </w:r>
      <w:hyperlink r:id="rId4" w:tooltip="Estatuto Tributario CETA" w:history="1">
        <w:r w:rsidRPr="003370F7">
          <w:rPr>
            <w:rFonts w:eastAsia="Times New Roman" w:cs="Times New Roman"/>
            <w:szCs w:val="24"/>
            <w:lang w:eastAsia="es-CO"/>
          </w:rPr>
          <w:t>579-2</w:t>
        </w:r>
      </w:hyperlink>
      <w:r w:rsidRPr="003370F7">
        <w:rPr>
          <w:rFonts w:eastAsia="Times New Roman" w:cs="Times New Roman"/>
          <w:szCs w:val="24"/>
          <w:lang w:eastAsia="es-CO"/>
        </w:rPr>
        <w:t>, </w:t>
      </w:r>
      <w:hyperlink r:id="rId5" w:tooltip="Estatuto Tributario CETA" w:history="1">
        <w:r w:rsidRPr="003370F7">
          <w:rPr>
            <w:rFonts w:eastAsia="Times New Roman" w:cs="Times New Roman"/>
            <w:szCs w:val="24"/>
            <w:lang w:eastAsia="es-CO"/>
          </w:rPr>
          <w:t>643</w:t>
        </w:r>
      </w:hyperlink>
      <w:r w:rsidRPr="003370F7">
        <w:rPr>
          <w:rFonts w:eastAsia="Times New Roman" w:cs="Times New Roman"/>
          <w:szCs w:val="24"/>
          <w:lang w:eastAsia="es-CO"/>
        </w:rPr>
        <w:t>, </w:t>
      </w:r>
      <w:hyperlink r:id="rId6" w:tooltip="Estatuto Tributario CETA" w:history="1">
        <w:r w:rsidRPr="003370F7">
          <w:rPr>
            <w:rFonts w:eastAsia="Times New Roman" w:cs="Times New Roman"/>
            <w:szCs w:val="24"/>
            <w:lang w:eastAsia="es-CO"/>
          </w:rPr>
          <w:t>683</w:t>
        </w:r>
      </w:hyperlink>
      <w:r w:rsidRPr="003370F7">
        <w:rPr>
          <w:rFonts w:eastAsia="Times New Roman" w:cs="Times New Roman"/>
          <w:szCs w:val="24"/>
          <w:lang w:eastAsia="es-CO"/>
        </w:rPr>
        <w:t>, </w:t>
      </w:r>
      <w:hyperlink r:id="rId7" w:tooltip="Estatuto Tributario CETA" w:history="1">
        <w:r w:rsidRPr="003370F7">
          <w:rPr>
            <w:rFonts w:eastAsia="Times New Roman" w:cs="Times New Roman"/>
            <w:szCs w:val="24"/>
            <w:lang w:eastAsia="es-CO"/>
          </w:rPr>
          <w:t>742</w:t>
        </w:r>
      </w:hyperlink>
      <w:r w:rsidRPr="003370F7">
        <w:rPr>
          <w:rFonts w:eastAsia="Times New Roman" w:cs="Times New Roman"/>
          <w:szCs w:val="24"/>
          <w:lang w:eastAsia="es-CO"/>
        </w:rPr>
        <w:t> y </w:t>
      </w:r>
      <w:hyperlink r:id="rId8" w:tooltip="Estatuto Tributario CETA" w:history="1">
        <w:r w:rsidRPr="003370F7">
          <w:rPr>
            <w:rFonts w:eastAsia="Times New Roman" w:cs="Times New Roman"/>
            <w:szCs w:val="24"/>
            <w:lang w:eastAsia="es-CO"/>
          </w:rPr>
          <w:t>745</w:t>
        </w:r>
      </w:hyperlink>
      <w:r w:rsidRPr="003370F7">
        <w:rPr>
          <w:rFonts w:eastAsia="Times New Roman" w:cs="Times New Roman"/>
          <w:szCs w:val="24"/>
          <w:lang w:eastAsia="es-CO"/>
        </w:rPr>
        <w:t> del Estatuto Tributario.</w:t>
      </w:r>
    </w:p>
    <w:p w:rsidR="003370F7" w:rsidRPr="003370F7" w:rsidRDefault="003370F7" w:rsidP="003370F7">
      <w:pPr>
        <w:spacing w:line="240" w:lineRule="auto"/>
        <w:ind w:left="450" w:hanging="270"/>
        <w:rPr>
          <w:rFonts w:eastAsia="Times New Roman" w:cs="Times New Roman"/>
          <w:szCs w:val="24"/>
          <w:lang w:eastAsia="es-CO"/>
        </w:rPr>
      </w:pPr>
      <w:r w:rsidRPr="003370F7">
        <w:rPr>
          <w:rFonts w:eastAsia="Times New Roman" w:cs="Times New Roman"/>
          <w:szCs w:val="24"/>
          <w:lang w:eastAsia="es-CO"/>
        </w:rPr>
        <w:t>·      Artículo 1 del Decreto 408 de 2001.</w:t>
      </w:r>
    </w:p>
    <w:p w:rsidR="003370F7" w:rsidRPr="003370F7" w:rsidRDefault="003370F7" w:rsidP="003370F7">
      <w:pPr>
        <w:spacing w:line="240" w:lineRule="auto"/>
        <w:ind w:left="450" w:hanging="270"/>
        <w:rPr>
          <w:rFonts w:eastAsia="Times New Roman" w:cs="Times New Roman"/>
          <w:szCs w:val="24"/>
          <w:lang w:eastAsia="es-CO"/>
        </w:rPr>
      </w:pPr>
      <w:r w:rsidRPr="003370F7">
        <w:rPr>
          <w:rFonts w:eastAsia="Times New Roman" w:cs="Times New Roman"/>
          <w:szCs w:val="24"/>
          <w:lang w:eastAsia="es-CO"/>
        </w:rPr>
        <w:t>·      Circular 0175 de 2001 de la DIAN.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2.1.2. Concepto de la violación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demandante presentó cinco cargos contra los actos administrativos demandados, que se resumen de la siguiente manera: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a. Falta de adecuación típica del obrar o la conducta objeto del proceso sancionatorio. Violación de los artículos </w:t>
      </w:r>
      <w:hyperlink r:id="rId9" w:tooltip="Estatuto Tributario CETA" w:history="1">
        <w:r w:rsidRPr="003370F7">
          <w:rPr>
            <w:rFonts w:eastAsia="Times New Roman" w:cs="Times New Roman"/>
            <w:b/>
            <w:bCs/>
            <w:szCs w:val="24"/>
            <w:lang w:eastAsia="es-CO"/>
          </w:rPr>
          <w:t>579-2</w:t>
        </w:r>
      </w:hyperlink>
      <w:r w:rsidRPr="003370F7">
        <w:rPr>
          <w:rFonts w:eastAsia="Times New Roman" w:cs="Times New Roman"/>
          <w:b/>
          <w:bCs/>
          <w:szCs w:val="24"/>
          <w:lang w:eastAsia="es-CO"/>
        </w:rPr>
        <w:t> y </w:t>
      </w:r>
      <w:hyperlink r:id="rId10" w:tooltip="Estatuto Tributario CETA" w:history="1">
        <w:r w:rsidRPr="003370F7">
          <w:rPr>
            <w:rFonts w:eastAsia="Times New Roman" w:cs="Times New Roman"/>
            <w:b/>
            <w:bCs/>
            <w:szCs w:val="24"/>
            <w:lang w:eastAsia="es-CO"/>
          </w:rPr>
          <w:t>643</w:t>
        </w:r>
      </w:hyperlink>
      <w:r w:rsidRPr="003370F7">
        <w:rPr>
          <w:rFonts w:eastAsia="Times New Roman" w:cs="Times New Roman"/>
          <w:b/>
          <w:bCs/>
          <w:szCs w:val="24"/>
          <w:lang w:eastAsia="es-CO"/>
        </w:rPr>
        <w:t> del Estatuto Tributario, y del artículo primero del Decreto 408 de 2001</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contribuyente sostuvo que siempre ha cumplido con todas las obligaciones tanto formales como sustanciales exigidas en la normativa tributaria.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Respecto de la declaración correspondiente al cuarto período del año gravable 2003, sostuvo que elaboró la declaración en forma electrónica. Que, no obstante, el programa electrónico dispuesto por la DIAN presentó dificultades para el acceso y transmisión, hecho que motivó múltiples llamadas al </w:t>
      </w:r>
      <w:proofErr w:type="spellStart"/>
      <w:r w:rsidRPr="003370F7">
        <w:rPr>
          <w:rFonts w:eastAsia="Times New Roman" w:cs="Times New Roman"/>
          <w:i/>
          <w:iCs/>
          <w:szCs w:val="24"/>
          <w:lang w:eastAsia="es-CO"/>
        </w:rPr>
        <w:t>call</w:t>
      </w:r>
      <w:proofErr w:type="spellEnd"/>
      <w:r w:rsidRPr="003370F7">
        <w:rPr>
          <w:rFonts w:eastAsia="Times New Roman" w:cs="Times New Roman"/>
          <w:i/>
          <w:iCs/>
          <w:szCs w:val="24"/>
          <w:lang w:eastAsia="es-CO"/>
        </w:rPr>
        <w:t xml:space="preserve"> center </w:t>
      </w:r>
      <w:r w:rsidRPr="003370F7">
        <w:rPr>
          <w:rFonts w:eastAsia="Times New Roman" w:cs="Times New Roman"/>
          <w:szCs w:val="24"/>
          <w:lang w:eastAsia="es-CO"/>
        </w:rPr>
        <w:t>de la entidad. Advirtió que en la operación del sistema para la transmisión de la citada declaración tributaria, se accedió al programa y se diligenció el formulario virtual correspondiente. Que, luego, imprimió el borrador y procedió a digitar las claves de acceso a la página para transmitir la declaración y solicitó al sistema la impresión de la misma ya transmitida, de la que obtuvo el ejemplar correspondiente –sin la reseña borrador- razón por la que entendió presentada dicha liquidación.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Que, sin embargo, al momento de pagar, el sistema no generó los recibos como debía hacerlo, razón por la que procedió a contactar vía telefónica a un funcionario de la DIAN, que impartió instrucciones para que se imprimieran recibos con caracteres especiales para el pago en bancos, y así lo hizo el mismo día. Que el funcionario relató lo ocurrido y así puede verse en la Resolución Sanción que ahora se demanda.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Que de lo expresado por el funcionario de la DIAN se puede colegir: (i) que la sociedad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sí solicitó ayuda de la administración tributaria para resolver los problemas técnicos que se presentaban en el proceso de transmisión de la declaración tributaria objeto de este proceso; (ii) que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sí ejecutó el programa de la DIAN para presentar la declaración y (iii) que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sí presentó la declaración tributaria y pagó el valor del impuesto correspondiente.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en caso de no tenerse en cuenta los pagos efectuados, el obrar del funcionario, que era el obrar de la DIAN, indujo en error a la contribuyente, al reafirmar su convicción de que se había pagado el impuesto correspondiente. Que ese hecho es constitutivo de una falla en el servicio de la DIAN. Que, además, es inconcebible que habiéndose enterado el funcionario de los pormenores que rodearon la presentación de la declaración, no hubiera indagado siquiera antes de dar instrucciones sobre los recibos especiales para los efectos del pago, en cuanto a si efectivamente aparecía reportada la declaración en el servidor de la DIAN.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en todo caso, no se tipifica la conducta sancionable por el </w:t>
      </w:r>
      <w:hyperlink r:id="rId11" w:tooltip="Estatuto Tributario CETA" w:history="1">
        <w:r w:rsidRPr="003370F7">
          <w:rPr>
            <w:rFonts w:eastAsia="Times New Roman" w:cs="Times New Roman"/>
            <w:szCs w:val="24"/>
            <w:lang w:eastAsia="es-CO"/>
          </w:rPr>
          <w:t>artículo 643</w:t>
        </w:r>
      </w:hyperlink>
      <w:r w:rsidRPr="003370F7">
        <w:rPr>
          <w:rFonts w:eastAsia="Times New Roman" w:cs="Times New Roman"/>
          <w:szCs w:val="24"/>
          <w:lang w:eastAsia="es-CO"/>
        </w:rPr>
        <w:t> del E.T., razón por la que deben anularse los actos administrativos demandados.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b. Los actos administrativos acusados son violatorios de los principios de buena y de confianza legítima de los particulares en las actuaciones de las autoridades, de conformidad con los dispuesto en los artículos 29 y 83 de la Constitución Política.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Dijo que conforme con los artículos 29 y 83 de la C.P. no es dable presumir la culpabilidad del sujeto pasivo de la potestad sancionadora del Estado. Que, además, en sus relaciones con el Estado, los particulares siempre obran de buena fe. Citó la sentencia T-538 de 1994, para concluir que existe suficiente evidencia para determinar que la contribuyente, en el cumplimiento de la obligación formal de declarar por el concepto de retención en la fuente del cuarto período de 2003, obró con exceso de diligencia, pues agotó paso a paso todas las instancias y etapas necesarias para el efecto, no sólo al interior del mismo sistema de la DIAN, sino que, además, se asesoró en tiempo real con un miembro de la administración tributaria.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Sostuvo que también se vulneró el principio de confianza legítima, en tanto el propio sistema de la DIAN produjo el impreso de un documento que presenta las mismas características que las de una declaración definitiva debidamente transmitida y porque un funcionario de la propia administración asesoró a la contribuyente para superar las falencias de la página web.</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Que, por todo lo anterior, es evidente que la contribuyente no sólo hizo todo lo necesario y aconsejable para cumplir de manera eficaz con la obligación formal de declarar, sino que </w:t>
      </w:r>
      <w:r w:rsidRPr="003370F7">
        <w:rPr>
          <w:rFonts w:eastAsia="Times New Roman" w:cs="Times New Roman"/>
          <w:szCs w:val="24"/>
          <w:lang w:eastAsia="es-CO"/>
        </w:rPr>
        <w:lastRenderedPageBreak/>
        <w:t>obró en la sana y razonable convicción –reforzada e inducida por la administración de haber presentado dicha declaración, pues así lo corrobora el documento que el sistema imprimió como definitivo. Que, en consecuencia, cualquier falla técnica que se pudiera predicar tanto de la operación como de este documento definitivo, es sólo atribuible a la DIAN, cuyo programa no avaló, en su momento, el número de control para garantizar la integridad de la información, conforme lo dispone el artículo 1 del Decreto 408 de 2001.</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 xml:space="preserve">c. Nulidad de los actos administrativos acusados por contener deducción de responsabilidad objetiva en cabeza de </w:t>
      </w:r>
      <w:proofErr w:type="spellStart"/>
      <w:r w:rsidRPr="003370F7">
        <w:rPr>
          <w:rFonts w:eastAsia="Times New Roman" w:cs="Times New Roman"/>
          <w:b/>
          <w:bCs/>
          <w:szCs w:val="24"/>
          <w:lang w:eastAsia="es-CO"/>
        </w:rPr>
        <w:t>Creamoda</w:t>
      </w:r>
      <w:proofErr w:type="spellEnd"/>
      <w:r w:rsidRPr="003370F7">
        <w:rPr>
          <w:rFonts w:eastAsia="Times New Roman" w:cs="Times New Roman"/>
          <w:b/>
          <w:bCs/>
          <w:szCs w:val="24"/>
          <w:lang w:eastAsia="es-CO"/>
        </w:rPr>
        <w:t xml:space="preserve"> S.A. Violación del artículo 29 de la Constitución Política.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Dijo que la Constitución Política proscribe toda forma de responsabilidad objetiva, como principio fundamental en materia penal y sancionatoria.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Indicó que la efectividad de la proscripción objetiva en materia sancionatoria se concreta en el postulado de que no puede existir responsabilidad sin culpa, lo que indica que para deducir la responsabilidad del sujeto pasivo se requiere plena prueba del aspecto subjetivo de la conducta, lo que no ocurrió en este caso.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Que si en este caso se probó que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actuó con la debida diligencia, los actos administrativos demandados no debieron sancionarla por el hecho de que la declaración tributaria no aparece en el sistema como presentada.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Que aún si se aceptara que la sanción por no declarar parte de presumir la culpabilidad de la contribuyente, también es imposible deducir dicha responsabilidad a cargo de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pues la contribuyente desvirtuó los hechos sancionables que le eran atribuidos con la presentación de medios probatorios convincentes, como lo es la declaración tributaria presentada en un documento definitivo impreso del propio sistema de la DIAN y los comprobantes de pago.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d. Nulidad de los actos acusados por haberse deducido sanción sin que existiera daño alguno para el Estado en general y para la administración tributaria en particular. Violación de la Circular DIAN 0175 de 2001.</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contribuyente sostuvo que conforme con la sentencia C-160 de 1998 para que proceda la imposición de sanciones en materia tributaria es necesaria la determinación de un daño al Estado. Que, en consecuencia, si la conducta aparece objetivamente establecida y no se configura el daño, la sanción no procede. Que la Circular 0175 de 2001 expedida por la DIAN recoge lo dispuesto en dicha sentencia.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Dijo que en este caso resulta incuestionable que, además de la falta de adecuación típica de la conducta, el obrar de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fue de buena fe, diligente y no merece la connotación de culpabilidad, el Estado no sufrió ningún tipo de daño, por cuanto la actora cumplió con la obligación sustancial de pagar efectivamente las retenciones por el período que se discute, situación que se demuestra con los recibos de pago anexados y con el estado de la cuenta </w:t>
      </w:r>
      <w:r w:rsidRPr="003370F7">
        <w:rPr>
          <w:rFonts w:eastAsia="Times New Roman" w:cs="Times New Roman"/>
          <w:szCs w:val="24"/>
          <w:lang w:eastAsia="es-CO"/>
        </w:rPr>
        <w:lastRenderedPageBreak/>
        <w:t>corriente del contribuyente, emitido por la DIAN que también se adjuntó como prueba con la demanda.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en conclusión, si se hubiera establecido la ocurrencia del hecho, que en verdad nunca fue establecido, el hecho de que al Estado no se le hubiera infligido daño alguno con ocasión de los hechos materia del proceso administrativo, impide la imposición de una sanción a la contribuyente.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e. Nulidad de los actos acusados por violación del </w:t>
      </w:r>
      <w:hyperlink r:id="rId12" w:tooltip="Estatuto Tributario CETA" w:history="1">
        <w:r w:rsidRPr="003370F7">
          <w:rPr>
            <w:rFonts w:eastAsia="Times New Roman" w:cs="Times New Roman"/>
            <w:b/>
            <w:bCs/>
            <w:szCs w:val="24"/>
            <w:lang w:eastAsia="es-CO"/>
          </w:rPr>
          <w:t>artículo 745</w:t>
        </w:r>
      </w:hyperlink>
      <w:r w:rsidRPr="003370F7">
        <w:rPr>
          <w:rFonts w:eastAsia="Times New Roman" w:cs="Times New Roman"/>
          <w:b/>
          <w:bCs/>
          <w:szCs w:val="24"/>
          <w:lang w:eastAsia="es-CO"/>
        </w:rPr>
        <w:t> del Estatuto Tributario según el cual las dudas en materia probatoria deben resolverse a favor del contribuyente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demandante indicó que si en gracia de discusión se llegare a concluir que no existe certeza de si la declaración tributaria fue o no presentada, nos encontraríamos frente a un caso de perplejidad o duda probatoria. Que, por ende, debe aplicarse el principio de </w:t>
      </w:r>
      <w:r w:rsidRPr="003370F7">
        <w:rPr>
          <w:rFonts w:eastAsia="Times New Roman" w:cs="Times New Roman"/>
          <w:i/>
          <w:iCs/>
          <w:szCs w:val="24"/>
          <w:lang w:eastAsia="es-CO"/>
        </w:rPr>
        <w:t>in dubio pro contribuyente.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en consonancia con lo dispuesto en los artículos </w:t>
      </w:r>
      <w:hyperlink r:id="rId13" w:tooltip="Estatuto Tributario CETA" w:history="1">
        <w:r w:rsidRPr="003370F7">
          <w:rPr>
            <w:rFonts w:eastAsia="Times New Roman" w:cs="Times New Roman"/>
            <w:szCs w:val="24"/>
            <w:lang w:eastAsia="es-CO"/>
          </w:rPr>
          <w:t>742</w:t>
        </w:r>
      </w:hyperlink>
      <w:r w:rsidRPr="003370F7">
        <w:rPr>
          <w:rFonts w:eastAsia="Times New Roman" w:cs="Times New Roman"/>
          <w:szCs w:val="24"/>
          <w:lang w:eastAsia="es-CO"/>
        </w:rPr>
        <w:t> y </w:t>
      </w:r>
      <w:hyperlink r:id="rId14" w:tooltip="Estatuto Tributario CETA" w:history="1">
        <w:r w:rsidRPr="003370F7">
          <w:rPr>
            <w:rFonts w:eastAsia="Times New Roman" w:cs="Times New Roman"/>
            <w:szCs w:val="24"/>
            <w:lang w:eastAsia="es-CO"/>
          </w:rPr>
          <w:t>745</w:t>
        </w:r>
      </w:hyperlink>
      <w:r w:rsidRPr="003370F7">
        <w:rPr>
          <w:rFonts w:eastAsia="Times New Roman" w:cs="Times New Roman"/>
          <w:szCs w:val="24"/>
          <w:lang w:eastAsia="es-CO"/>
        </w:rPr>
        <w:t> del ET, al contribuyente no se le puede exigir en el uso de los medios tecnológicos puestos a su disposición y administrados por la DIAN un conocimiento más allá de la media normal, que sí es exigible de la Administración Tributaria.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Sostuvo que no se puede perder de vista que es precisamente la administración tributaria la que en calidad de responsable del buen funcionamiento y eficiencia de esos medios tecnológicos debe asumir la carga que le corresponde en esta relación desigual, en cuanto a las fallas que pueden presentarse y que, en efecto, en este caso específico se presentaron.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en este sentido, los actos administrativos demandados vulneran los principios de justicia y equidad que deben gobernar la actuación tanto en el tema de determinación de los impuestos, como en el tema sancionatorio.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2.2. CONTESTACIÓN DE LA DEMANDA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UAE DIAN respondió a la demanda interpuesta en su contra. Sostuvo que la contribuyente estaba obligada a presentar la declaración de retención en la fuente por medio electrónico. Que, sin embargo, pudo advertirse que intentó presentarla sin lograr su objetivo, pues no la transmitió, y la administración pudo constatar en el aplicativo de la DIAN que no aparece presentada.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Citó apartes del manual de funcionamiento de la página web de la entidad y de las instrucciones para presentar declaraciones electrónicas y concluyó que si bien es cierto que a la DIAN le corresponde tener los sistemas informáticos adecuados para brindar a los contribuyentes los elementos con los que debe presentar las declaraciones, también lo es que de las pruebas aportadas al presente caso puede advertirse que, el 12 de mayo de 2003, la sociedad no tuvo problemas con el envío de la declaración, toda vez que la consulta hecha a </w:t>
      </w:r>
      <w:r w:rsidRPr="003370F7">
        <w:rPr>
          <w:rFonts w:eastAsia="Times New Roman" w:cs="Times New Roman"/>
          <w:szCs w:val="24"/>
          <w:lang w:eastAsia="es-CO"/>
        </w:rPr>
        <w:lastRenderedPageBreak/>
        <w:t>la DIAN no versaba sobre ese tema, sino frente a la elaboración de recibos de pago como lo constata la declaración del funcionario encargado del proceso de declaración electrónica de la DIAN Seccional Medellín. Que tampoco hubo llamadas del contribuyente para informar dificultades en el proceso de transmisión de la información.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Que de los hechos narrados y las pruebas del expediente de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es dable concluir que la contribuyente omitió uno de los pasos en el proceso de declaración electrónica, consistente en la transmisión de la declaración y la constatación de su recibo, omisión que impidió que la declaración apareciera con los números de control, que los recibos de pago no se dejaran elaborar y que, a su vez, no apareciera registrada en la página de la entidad.</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Dijo que la administración no desconoce la intención que pudo tener la demandante de elaborar la declaración, pero que debido a un descuido en ese proceso, ésta no fue presentada, lo que originó la imposición de la sanción por no declarar.</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Advirtió que la entidad nunca recibió la declaración y que la norma tributaria (</w:t>
      </w:r>
      <w:hyperlink r:id="rId15" w:tooltip="Estatuto Tributario CETA" w:history="1">
        <w:r w:rsidRPr="003370F7">
          <w:rPr>
            <w:rFonts w:eastAsia="Times New Roman" w:cs="Times New Roman"/>
            <w:szCs w:val="24"/>
            <w:lang w:eastAsia="es-CO"/>
          </w:rPr>
          <w:t>art. 715</w:t>
        </w:r>
      </w:hyperlink>
      <w:r w:rsidRPr="003370F7">
        <w:rPr>
          <w:rFonts w:eastAsia="Times New Roman" w:cs="Times New Roman"/>
          <w:szCs w:val="24"/>
          <w:lang w:eastAsia="es-CO"/>
        </w:rPr>
        <w:t> ET.) es muy exigente al establecer que quienes incumplan con la obligación de presentar la declaración, el obligado, será emplazado y posteriormente sancionado.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Citó apartes del Concepto 110208 del 21 de diciembre de 2001, y concluyó que para que la declaración de retención en la fuente tuviera plena validez, era necesario que fuera enviada, con el fin de que en esta constaran los dígitos de control manual y automáticos, que le dan al contribuyente la certeza del acuse de recibo del documento. Que, en todo caso, la </w:t>
      </w:r>
      <w:bookmarkStart w:id="0" w:name="_GoBack"/>
      <w:bookmarkEnd w:id="0"/>
      <w:r w:rsidRPr="003370F7">
        <w:rPr>
          <w:rFonts w:eastAsia="Times New Roman" w:cs="Times New Roman"/>
          <w:szCs w:val="24"/>
          <w:lang w:eastAsia="es-CO"/>
        </w:rPr>
        <w:t>contribuyente no puede alegar en su favor el hecho de que la transmisión y recepción son responsabilidad exclusiva de la DIAN, pues, para que opere la declaración electrónica, el contribuyente debe tener certeza real de la recepción del documento, toda vez que, sin la constancia de recepción, la declaración tributaria no tiene validez.</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por lo anterior, no se advierte la nulidad de los actos demandados por violación de los artículos </w:t>
      </w:r>
      <w:hyperlink r:id="rId16" w:tooltip="Estatuto Tributario CETA" w:history="1">
        <w:r w:rsidRPr="003370F7">
          <w:rPr>
            <w:rFonts w:eastAsia="Times New Roman" w:cs="Times New Roman"/>
            <w:szCs w:val="24"/>
            <w:lang w:eastAsia="es-CO"/>
          </w:rPr>
          <w:t>579-2</w:t>
        </w:r>
      </w:hyperlink>
      <w:r w:rsidRPr="003370F7">
        <w:rPr>
          <w:rFonts w:eastAsia="Times New Roman" w:cs="Times New Roman"/>
          <w:szCs w:val="24"/>
          <w:lang w:eastAsia="es-CO"/>
        </w:rPr>
        <w:t> y </w:t>
      </w:r>
      <w:hyperlink r:id="rId17" w:tooltip="Estatuto Tributario CETA" w:history="1">
        <w:r w:rsidRPr="003370F7">
          <w:rPr>
            <w:rFonts w:eastAsia="Times New Roman" w:cs="Times New Roman"/>
            <w:szCs w:val="24"/>
            <w:lang w:eastAsia="es-CO"/>
          </w:rPr>
          <w:t>643</w:t>
        </w:r>
      </w:hyperlink>
      <w:r w:rsidRPr="003370F7">
        <w:rPr>
          <w:rFonts w:eastAsia="Times New Roman" w:cs="Times New Roman"/>
          <w:szCs w:val="24"/>
          <w:lang w:eastAsia="es-CO"/>
        </w:rPr>
        <w:t> del ET., pues contra lo dicho por la contribuyente, la actuación de la administración estuvo sujeta a la ley y al reglamento.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De la violación del principio de buena fe, sostuvo que la entidad no duda de la buena fe que pudo motivar la actuación de la contribuyente, pero que eso no es óbice para desconocer el mandato legal que de primera mano obliga a los contribuyentes a cumplir con el deber formal de presentar las declaraciones tributarias en los plazos y de forma electrónica, como en este caso. Que, entonces, no hay excusa que justifique el incumplimiento, y menos la buena fe.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Del principio de confianza legítima dijo que, para la administración, el proceder de la sociedad no se ajustó a lo dispuesto en el artículo 11 del Decreto 408 de 2001 y que la información brindada por el funcionario de recaudación de la administración tributaria se encaminó a ayudar a la generación de los recibos, mas no a la presentación de la declaración.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Manifestó que la administración brindó a la contribuyente las oportunidades procesales para que probara que efectivamente presentó la declaración, pero que esta no lo hizo.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Adujo que de acuerdo con la sentencia del 7 de mayo de 1997</w:t>
      </w:r>
      <w:bookmarkStart w:id="1" w:name="_ftnref1"/>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w:t>
      </w:r>
      <w:r w:rsidRPr="003370F7">
        <w:rPr>
          <w:rFonts w:eastAsia="Times New Roman" w:cs="Times New Roman"/>
          <w:szCs w:val="24"/>
          <w:lang w:eastAsia="es-CO"/>
        </w:rPr>
        <w:fldChar w:fldCharType="end"/>
      </w:r>
      <w:bookmarkEnd w:id="1"/>
      <w:r w:rsidRPr="003370F7">
        <w:rPr>
          <w:rFonts w:eastAsia="Times New Roman" w:cs="Times New Roman"/>
          <w:szCs w:val="24"/>
          <w:lang w:eastAsia="es-CO"/>
        </w:rPr>
        <w:t>, en relación con la sanción por no declarar, basta probar que la contribuyente no presentó la declaración para que la misma sea aplicable, sin necesidad de demostrar la culpabilidad, el dolo o el daño.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Por todo lo anterior, pidió que se denegaran las pretensiones de la demanda.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2.3. LA SENTENCIA APELADA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El Tribunal Administrativo de Antioquia, en sentencia del 17 de octubre de 2013, denegó las pretensiones de la demanda.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Luego de un recuento de las actuaciones adelantadas en este caso y de las normas que regulan la presentación de la declaración electrónica de la retención en la fuente por el período 4 de 2003, el Tribunal advirtió que una vez vista la declaración que la contribuyente consideró como definitiva, no aparecían en ella los números de control automático ni los de control manual, así como tampoco aparecía la constancia de que la declaración hubiere sido enviada.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Citó apartes de la sentencia del 2 de agosto de 2012, dictada en el expediente No. 18696</w:t>
      </w:r>
      <w:bookmarkStart w:id="2" w:name="_ftnref2"/>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w:t>
      </w:r>
      <w:r w:rsidRPr="003370F7">
        <w:rPr>
          <w:rFonts w:eastAsia="Times New Roman" w:cs="Times New Roman"/>
          <w:szCs w:val="24"/>
          <w:lang w:eastAsia="es-CO"/>
        </w:rPr>
        <w:fldChar w:fldCharType="end"/>
      </w:r>
      <w:bookmarkEnd w:id="2"/>
      <w:r w:rsidRPr="003370F7">
        <w:rPr>
          <w:rFonts w:eastAsia="Times New Roman" w:cs="Times New Roman"/>
          <w:szCs w:val="24"/>
          <w:lang w:eastAsia="es-CO"/>
        </w:rPr>
        <w:t> y concluyó que cuando el contribuyente requiera presentar ante terceros o cuando alguna autoridad solicite copia de la declaración, podrá utilizarse la impresión en papel que se haga de las declaraciones electrónicas, pero advierte que para que ese documento tenga carácter probatorio debe cumplir con las siguientes formalidades: (i) que haya sido impresa exclusivamente con los mecanismos establecidos en el sistema de declaración y pago electrónico, (ii) que se trate del documento completo sin tachaduras o enmendaduras de ninguna clase, y (iii) que en él estén plenamente identificados los dígitos de control manual y automático asignados por la DIAN.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de lo anterior se deriva que, si bien la declarante tuvo la intención de presentar la declaración, por un descuido de su parte en el procedimiento, ésta no fue enviada, pues el último paso a seguir es enviar la declaración, y al imprimirla aparece como acuse de recibo, por parte de la entidad, la declaración sin la palabra borrador (lo que ocurrió) y con los números de declaración, el número de control automático y el número de control manual (lo que no ocurrió).</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por lo anterior, la declaración presentada como prueba del cumplimiento de la obligación tributaria no es válida, pues no reúne los requisitos previstos en el Decreto 408 de 2001.</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De los recibos aportados por la demandante como prueba de cumplimiento de la obligación de declarar, el Tribunal advirtió que dichos recibos son elementos de prueba del deber de consignar lo retenido, más no de informar a la administración las retenciones practicadas en el período, cual es el objeto de este proceso.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De la violación de los principios de buena fe y de confianza legítima, el Tribunal consideró que la contribuyente no puede excusarse en dichos principios para justificar su omisión o descuido en el cumplimiento de la obligación. Que, además, la contribuyente conocía el proceso a seguir para la presentación de las declaraciones electrónicas, pues para la presentada en el período 3 de 2003 no presentó ningún problema, razón por la que no puede trasladar sus propios errores a la DIAN.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Finalmente, dijo que en materia tributaria basta simplemente con probar que el contribuyente no presentó la declaración para imponer la sanción por no declarar, sin entrar a probar que se causó un daño a la administración.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2.4. EL RECURSO DE APELACIÓN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Inconforme con la decisión de primera instancia, </w:t>
      </w:r>
      <w:proofErr w:type="spellStart"/>
      <w:r w:rsidRPr="003370F7">
        <w:rPr>
          <w:rFonts w:eastAsia="Times New Roman" w:cs="Times New Roman"/>
          <w:b/>
          <w:bCs/>
          <w:szCs w:val="24"/>
          <w:lang w:eastAsia="es-CO"/>
        </w:rPr>
        <w:t>Creamoda</w:t>
      </w:r>
      <w:proofErr w:type="spellEnd"/>
      <w:r w:rsidRPr="003370F7">
        <w:rPr>
          <w:rFonts w:eastAsia="Times New Roman" w:cs="Times New Roman"/>
          <w:b/>
          <w:bCs/>
          <w:szCs w:val="24"/>
          <w:lang w:eastAsia="es-CO"/>
        </w:rPr>
        <w:t xml:space="preserve"> S.A.</w:t>
      </w:r>
      <w:r w:rsidRPr="003370F7">
        <w:rPr>
          <w:rFonts w:eastAsia="Times New Roman" w:cs="Times New Roman"/>
          <w:szCs w:val="24"/>
          <w:lang w:eastAsia="es-CO"/>
        </w:rPr>
        <w:t> presentó recurso de apelación.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Dijo que, si bien en la sentencia de primera instancia la decisión gira en torno al artículo 11 del Decreto 408 de 2001, la interpretación de la norma debe apoyarse siempre en los principios y valores que la vivifican, que la hacen apropiable por sus destinatarios. Indicó que la norma no puede tomarse como una figura pétrea condenada a una rigidez perpetua.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Dijo que un decreto no puede apreciarse válidamente si el operador jurídico pretende interpretarlo desconectado del resto del ordenamiento jurídico y que la labor hermenéutica debe alimentarse en los valores y principios que irrigan ese ordenamiento jurídico desde la propia Constitución.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Insistió en que los documentos aportados con la demanda constituyen prueba fehaciente de que la contribuyente hizo todo lo que razonable y jurídicamente le correspondía para presentar por medio electrónico la declaración de retención en la fuente por el período 4 de 2003 y, coherente con el cumplimiento de la obligación, pagó efectiva y oportunamente el valor que ella arrojó.</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Adujo que si bien en el artículo 11 del Decreto 408 de 2001 se pretende otorgar un valor probatorio a un tipo de documento específico, también lo es que la norma parte del supuesto de que el sistema de la DIAN funcione correctamente. Que las dificultades inician cuando los sistemas fallan, porque al igual que los seres humanos no son infalibles, y las fallas del sistema deben ser asumidas única y exclusivamente por la DIAN.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entonces, si los sistemas de la DIAN fallaron, es la DIAN la que debe responder por el obrar defectuoso de esas herramientas, pues ella fue quien generó el riesgo y no la contribuyente.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Sostuvo que si la declaración no fue encontrada en los sistemas de la DIAN, esa ausencia es atribuible a la falla de los sistemas y, en ningún caso, a la contribuyente, pues hizo todo lo razonable para presentar la declaración.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Dijo que, independientemente del sentido de la jurisprudencia citada en la sentencia de primera instancia, las fallas del sistema de la DIAN ocurren de manera reiterativa, y prueba de eso es que continuamente la propia DIAN se ve en la necesidad de producir actos administrativos de carácter general y ampliar los plazos a los contribuyentes y responsables para el cumplimiento de las obligaciones formales por tales medios. Que, incluso, en la última reforma tributaria se estableció una especie de amnistía en relación con la presentación de declaraciones de retención en la fuente.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Que, además, la interpretación del artículo 11 del Decreto 408 de 2001 debe efectuarse en concordancia con las particularidades del caso y a la luz de principios constitucionales y legales como el de la prevalencia de la esencia sobre la forma, como los de justicia y equidad en materia tributaria y como el de la presunción de la buena fe y la confianza legítima de los particulares en las actuaciones de las autoridades.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Por todo lo anterior, pidió que se revocara la decisión de primera instancia.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2.5. ALEGATOS DE CONCLUSIÓN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w:t>
      </w:r>
      <w:r w:rsidRPr="003370F7">
        <w:rPr>
          <w:rFonts w:eastAsia="Times New Roman" w:cs="Times New Roman"/>
          <w:b/>
          <w:bCs/>
          <w:szCs w:val="24"/>
          <w:lang w:eastAsia="es-CO"/>
        </w:rPr>
        <w:t>DIAN </w:t>
      </w:r>
      <w:r w:rsidRPr="003370F7">
        <w:rPr>
          <w:rFonts w:eastAsia="Times New Roman" w:cs="Times New Roman"/>
          <w:szCs w:val="24"/>
          <w:lang w:eastAsia="es-CO"/>
        </w:rPr>
        <w:t>reiteró los argumentos expuestos en la contestación de la demanda. Insistió en que de las pruebas aportadas al plenario no es dable determinar que la contribuyente presentó la declaración de retención en la fuente por el período 4 de 2003. Que, en consecuencia, ante la omisión en la presentación de la declaración, lo procedente es la imposición de la sanción.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Por lo anterior, pidió que se confirmara la decisión de la primera instancia.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proofErr w:type="spellStart"/>
      <w:r w:rsidRPr="003370F7">
        <w:rPr>
          <w:rFonts w:eastAsia="Times New Roman" w:cs="Times New Roman"/>
          <w:b/>
          <w:bCs/>
          <w:szCs w:val="24"/>
          <w:lang w:eastAsia="es-CO"/>
        </w:rPr>
        <w:t>Creamoda</w:t>
      </w:r>
      <w:proofErr w:type="spellEnd"/>
      <w:r w:rsidRPr="003370F7">
        <w:rPr>
          <w:rFonts w:eastAsia="Times New Roman" w:cs="Times New Roman"/>
          <w:b/>
          <w:bCs/>
          <w:szCs w:val="24"/>
          <w:lang w:eastAsia="es-CO"/>
        </w:rPr>
        <w:t xml:space="preserve"> S.A. </w:t>
      </w:r>
      <w:r w:rsidRPr="003370F7">
        <w:rPr>
          <w:rFonts w:eastAsia="Times New Roman" w:cs="Times New Roman"/>
          <w:szCs w:val="24"/>
          <w:lang w:eastAsia="es-CO"/>
        </w:rPr>
        <w:t>no alegó de conclusión.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2.5. (SIC) CONCEPTO DEL MINISTERIO PÚBLICO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El </w:t>
      </w:r>
      <w:r w:rsidRPr="003370F7">
        <w:rPr>
          <w:rFonts w:eastAsia="Times New Roman" w:cs="Times New Roman"/>
          <w:b/>
          <w:bCs/>
          <w:szCs w:val="24"/>
          <w:lang w:eastAsia="es-CO"/>
        </w:rPr>
        <w:t>Ministerio Público</w:t>
      </w:r>
      <w:r w:rsidRPr="003370F7">
        <w:rPr>
          <w:rFonts w:eastAsia="Times New Roman" w:cs="Times New Roman"/>
          <w:szCs w:val="24"/>
          <w:lang w:eastAsia="es-CO"/>
        </w:rPr>
        <w:t> no conceptuó en este caso.</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3. CONSIDERACIONES DE LA SALA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Le corresponde a la Sala decidir sobre la nulidad de la Resolución Sanción por no declarar No. 110642005000080 del 17 de mayo de 2005 y su confirmatoria, la Resolución Recurso de Reconsideración No. 11066200600002 del 9 de junio de 2006, mediante las que la DIAN sancionó a la demandante por no presentar la declaración de retención en la fuente por el mes de abril de 2003 por el Sistema de Declaración y Pagos Electrónicos.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3.1. Problema jurídico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En los términos del recurso de apelación interpuesto por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S.A., a la Sala le corresponde analizar si:</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 En la sentencia apelada, el a quo debió interpretar el artículo 11 del Decreto 408 de 2001 sistemáticamente con los principios que informan el derecho administrativo sancionatorio.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Los documentos que aportó como prueba la demandante demuestran que hizo todo lo que razonable y jurídicamente le correspondía para presentar por medio electrónico la declaración de retención en la fuente por el período 4 de 2003, y que no se le generó daño al Estado, pues pagó las retenciones el día que correspondía.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La responsabilidad por las fallas en el sistema informático de la DIAN las debe asumir la propia institución pero no el demandante. Y si, en caso de duda, el caso se puede resolver en favor del demandante.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3.2. De si el a quo debió interpretar el artículo 11 del Decreto 408 de 2001, sistemáticamente principios que informan el derecho administrativo sancionatorio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Sea lo primero precisar que la sentencia apelada aplicó como precedente la sentencia dictada por esta Sala el 2 de agosto de 2012, dentro del expediente No. 18696</w:t>
      </w:r>
      <w:bookmarkStart w:id="3" w:name="_ftnref3"/>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"_ftn3"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w:t>
      </w:r>
      <w:r w:rsidRPr="003370F7">
        <w:rPr>
          <w:rFonts w:eastAsia="Times New Roman" w:cs="Times New Roman"/>
          <w:szCs w:val="24"/>
          <w:lang w:eastAsia="es-CO"/>
        </w:rPr>
        <w:fldChar w:fldCharType="end"/>
      </w:r>
      <w:bookmarkEnd w:id="3"/>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Esa sentencia resolvió un caso análogo al que ahora convoca la presente controversia en el sentido de no anular los actos administrativos que le impusieron a la demandante la sanción por no presentar la declaración de retención en la fuente.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Las razones de derecho que se expusieron en esa sentencia son las siguientes:</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b/>
          <w:bCs/>
          <w:szCs w:val="24"/>
          <w:lang w:eastAsia="es-CO"/>
        </w:rPr>
        <w:t>1. Obligación de declarar por el “Sistema Declaración y Pago Electrónico de la DIAN”</w:t>
      </w:r>
      <w:r w:rsidRPr="003370F7">
        <w:rPr>
          <w:rFonts w:eastAsia="Times New Roman" w:cs="Times New Roman"/>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La presentación electrónica de declaraciones y pagos tributarios está prevista en el Estatuto Tributario en el </w:t>
      </w:r>
      <w:hyperlink r:id="rId18" w:tooltip="Estatuto Tributario CETA" w:history="1">
        <w:r w:rsidRPr="003370F7">
          <w:rPr>
            <w:rFonts w:eastAsia="Times New Roman" w:cs="Times New Roman"/>
            <w:szCs w:val="24"/>
            <w:lang w:eastAsia="es-CO"/>
          </w:rPr>
          <w:t>artículo 579-2</w:t>
        </w:r>
      </w:hyperlink>
      <w:r w:rsidRPr="003370F7">
        <w:rPr>
          <w:rFonts w:eastAsia="Times New Roman" w:cs="Times New Roman"/>
          <w:szCs w:val="24"/>
          <w:lang w:eastAsia="es-CO"/>
        </w:rPr>
        <w:t>, en los siguientes términos:</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b/>
          <w:bCs/>
          <w:szCs w:val="24"/>
          <w:lang w:eastAsia="es-CO"/>
        </w:rPr>
        <w:t>“</w:t>
      </w:r>
      <w:hyperlink r:id="rId19" w:tooltip="Estatuto Tributario CETA" w:history="1">
        <w:r w:rsidRPr="003370F7">
          <w:rPr>
            <w:rFonts w:eastAsia="Times New Roman" w:cs="Times New Roman"/>
            <w:b/>
            <w:bCs/>
            <w:szCs w:val="24"/>
            <w:lang w:eastAsia="es-CO"/>
          </w:rPr>
          <w:t>ARTÍCULO 579-2</w:t>
        </w:r>
      </w:hyperlink>
      <w:r w:rsidRPr="003370F7">
        <w:rPr>
          <w:rFonts w:eastAsia="Times New Roman" w:cs="Times New Roman"/>
          <w:b/>
          <w:bCs/>
          <w:szCs w:val="24"/>
          <w:lang w:eastAsia="es-CO"/>
        </w:rPr>
        <w:t>. PRESENTACIÓN ELECTRÓNICA DE DECLARACIONES.</w:t>
      </w:r>
      <w:r w:rsidRPr="003370F7">
        <w:rPr>
          <w:rFonts w:eastAsia="Times New Roman" w:cs="Times New Roman"/>
          <w:szCs w:val="24"/>
          <w:lang w:eastAsia="es-CO"/>
        </w:rPr>
        <w:t> Artículo modificado por el artículo 38 de la Ley 633 de 2000. El nuevo texto es el siguiente: Sin perjuicio de lo dispuesto en el </w:t>
      </w:r>
      <w:hyperlink r:id="rId20" w:tooltip="Estatuto Tributario CETA" w:history="1">
        <w:r w:rsidRPr="003370F7">
          <w:rPr>
            <w:rFonts w:eastAsia="Times New Roman" w:cs="Times New Roman"/>
            <w:szCs w:val="24"/>
            <w:lang w:eastAsia="es-CO"/>
          </w:rPr>
          <w:t>artículo 579</w:t>
        </w:r>
      </w:hyperlink>
      <w:r w:rsidRPr="003370F7">
        <w:rPr>
          <w:rFonts w:eastAsia="Times New Roman" w:cs="Times New Roman"/>
          <w:szCs w:val="24"/>
          <w:lang w:eastAsia="es-CO"/>
        </w:rPr>
        <w:t> </w:t>
      </w:r>
      <w:bookmarkStart w:id="4" w:name="_ftnref4"/>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"_ftn4"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[4]</w:t>
      </w:r>
      <w:r w:rsidRPr="003370F7">
        <w:rPr>
          <w:rFonts w:eastAsia="Times New Roman" w:cs="Times New Roman"/>
          <w:szCs w:val="24"/>
          <w:lang w:eastAsia="es-CO"/>
        </w:rPr>
        <w:fldChar w:fldCharType="end"/>
      </w:r>
      <w:bookmarkEnd w:id="4"/>
      <w:r w:rsidRPr="003370F7">
        <w:rPr>
          <w:rFonts w:eastAsia="Times New Roman" w:cs="Times New Roman"/>
          <w:szCs w:val="24"/>
          <w:lang w:eastAsia="es-CO"/>
        </w:rPr>
        <w:t>, el Director de Impuestos y Aduanas Nacionales, mediante resolución, señalará los contribuyentes, responsables o agentes retenedores obligados a cumplir con la presentación de las declaraciones y pagos tributarios a través de medios electrónicos, en las condiciones y con las seguridades que establezca el reglamento. Las declaraciones tributarias, presentadas por un medio diferente, por parte del obligado a utilizar el sistema electrónico, se tendrán como no presentadas. En el evento de presentarse situaciones de fuerza mayor que le impidan al contribuyente presentar oportunamente su declaración por el sistema electrónico, no se aplicará la sanción de extemporaneidad establecida en el </w:t>
      </w:r>
      <w:hyperlink r:id="rId21" w:tooltip="Estatuto Tributario CETA" w:history="1">
        <w:r w:rsidRPr="003370F7">
          <w:rPr>
            <w:rFonts w:eastAsia="Times New Roman" w:cs="Times New Roman"/>
            <w:szCs w:val="24"/>
            <w:lang w:eastAsia="es-CO"/>
          </w:rPr>
          <w:t>artículo 641</w:t>
        </w:r>
      </w:hyperlink>
      <w:r w:rsidRPr="003370F7">
        <w:rPr>
          <w:rFonts w:eastAsia="Times New Roman" w:cs="Times New Roman"/>
          <w:szCs w:val="24"/>
          <w:lang w:eastAsia="es-CO"/>
        </w:rPr>
        <w:t> de este Estatuto, siempre y cuando la declaración manual se presente a más tardar al día siguiente del vencimiento del plazo para declarar y se demuestren los hechos constitutivos de fuerza mayor.</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El Gobierno Nacional reglamentó este artículo mediante el Decreto 408 de 2001</w:t>
      </w:r>
      <w:bookmarkStart w:id="5" w:name="_ftnref5"/>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"_ftn5"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[5]</w:t>
      </w:r>
      <w:r w:rsidRPr="003370F7">
        <w:rPr>
          <w:rFonts w:eastAsia="Times New Roman" w:cs="Times New Roman"/>
          <w:szCs w:val="24"/>
          <w:lang w:eastAsia="es-CO"/>
        </w:rPr>
        <w:fldChar w:fldCharType="end"/>
      </w:r>
      <w:bookmarkEnd w:id="5"/>
      <w:r w:rsidRPr="003370F7">
        <w:rPr>
          <w:rFonts w:eastAsia="Times New Roman" w:cs="Times New Roman"/>
          <w:szCs w:val="24"/>
          <w:lang w:eastAsia="es-CO"/>
        </w:rPr>
        <w:t xml:space="preserve">, acto mediante el cual dispuso que las declaraciones tributarias y el pago de los impuestos y de </w:t>
      </w:r>
      <w:r w:rsidRPr="003370F7">
        <w:rPr>
          <w:rFonts w:eastAsia="Times New Roman" w:cs="Times New Roman"/>
          <w:szCs w:val="24"/>
          <w:lang w:eastAsia="es-CO"/>
        </w:rPr>
        <w:lastRenderedPageBreak/>
        <w:t>las retenciones en la fuente que se presenten electrónicamente, se hará por el Sistema Declaración y Pago Electrónico de la DIAN.</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El Decreto establece que el sistema cuenta con los siguientes mecanismos de seguridad (art. 1°):</w:t>
      </w:r>
    </w:p>
    <w:p w:rsidR="003370F7" w:rsidRPr="003370F7" w:rsidRDefault="003370F7" w:rsidP="003370F7">
      <w:pPr>
        <w:spacing w:line="240" w:lineRule="auto"/>
        <w:ind w:left="900" w:hanging="36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900" w:hanging="360"/>
        <w:rPr>
          <w:rFonts w:eastAsia="Times New Roman" w:cs="Times New Roman"/>
          <w:szCs w:val="24"/>
          <w:lang w:eastAsia="es-CO"/>
        </w:rPr>
      </w:pPr>
      <w:r w:rsidRPr="003370F7">
        <w:rPr>
          <w:rFonts w:eastAsia="Times New Roman" w:cs="Times New Roman"/>
          <w:szCs w:val="24"/>
          <w:lang w:eastAsia="es-CO"/>
        </w:rPr>
        <w:t>·         Identificación inequívoca de origen y destino en todas las comunicaciones.</w:t>
      </w:r>
    </w:p>
    <w:p w:rsidR="003370F7" w:rsidRPr="003370F7" w:rsidRDefault="003370F7" w:rsidP="003370F7">
      <w:pPr>
        <w:spacing w:line="240" w:lineRule="auto"/>
        <w:ind w:left="900" w:hanging="360"/>
        <w:rPr>
          <w:rFonts w:eastAsia="Times New Roman" w:cs="Times New Roman"/>
          <w:szCs w:val="24"/>
          <w:lang w:eastAsia="es-CO"/>
        </w:rPr>
      </w:pPr>
      <w:r w:rsidRPr="003370F7">
        <w:rPr>
          <w:rFonts w:eastAsia="Times New Roman" w:cs="Times New Roman"/>
          <w:szCs w:val="24"/>
          <w:lang w:eastAsia="es-CO"/>
        </w:rPr>
        <w:t>·         Cifrado de datos transmitidos y almacenados.</w:t>
      </w:r>
    </w:p>
    <w:p w:rsidR="003370F7" w:rsidRPr="003370F7" w:rsidRDefault="003370F7" w:rsidP="003370F7">
      <w:pPr>
        <w:spacing w:line="240" w:lineRule="auto"/>
        <w:ind w:left="900" w:hanging="360"/>
        <w:rPr>
          <w:rFonts w:eastAsia="Times New Roman" w:cs="Times New Roman"/>
          <w:szCs w:val="24"/>
          <w:lang w:eastAsia="es-CO"/>
        </w:rPr>
      </w:pPr>
      <w:r w:rsidRPr="003370F7">
        <w:rPr>
          <w:rFonts w:eastAsia="Times New Roman" w:cs="Times New Roman"/>
          <w:szCs w:val="24"/>
          <w:lang w:eastAsia="es-CO"/>
        </w:rPr>
        <w:t>·         Números de control para garantizar la integridad de la información.</w:t>
      </w:r>
    </w:p>
    <w:p w:rsidR="003370F7" w:rsidRPr="003370F7" w:rsidRDefault="003370F7" w:rsidP="003370F7">
      <w:pPr>
        <w:spacing w:line="240" w:lineRule="auto"/>
        <w:ind w:left="900" w:hanging="360"/>
        <w:rPr>
          <w:rFonts w:eastAsia="Times New Roman" w:cs="Times New Roman"/>
          <w:szCs w:val="24"/>
          <w:lang w:eastAsia="es-CO"/>
        </w:rPr>
      </w:pPr>
      <w:r w:rsidRPr="003370F7">
        <w:rPr>
          <w:rFonts w:eastAsia="Times New Roman" w:cs="Times New Roman"/>
          <w:szCs w:val="24"/>
          <w:lang w:eastAsia="es-CO"/>
        </w:rPr>
        <w:t>·         Protocolo que impide la negación del envío y/o recepción de la información.</w:t>
      </w:r>
    </w:p>
    <w:p w:rsidR="003370F7" w:rsidRPr="003370F7" w:rsidRDefault="003370F7" w:rsidP="003370F7">
      <w:pPr>
        <w:spacing w:line="240" w:lineRule="auto"/>
        <w:ind w:left="900" w:hanging="360"/>
        <w:rPr>
          <w:rFonts w:eastAsia="Times New Roman" w:cs="Times New Roman"/>
          <w:szCs w:val="24"/>
          <w:lang w:eastAsia="es-CO"/>
        </w:rPr>
      </w:pPr>
      <w:r w:rsidRPr="003370F7">
        <w:rPr>
          <w:rFonts w:eastAsia="Times New Roman" w:cs="Times New Roman"/>
          <w:szCs w:val="24"/>
          <w:lang w:eastAsia="es-CO"/>
        </w:rPr>
        <w:t>·         Certificados con firma electrónica y claves secretas de acceso para contribuyente y revisor fiscal.</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Señala que para todos los efectos jurídicos los documentos electrónicos, declaraciones y recibos de pago, que se presenten por el Sistema Declaración y Pago Electrónico de la DIAN, reemplazarán los documentos físicos en papel (art. 11).</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El mismo artículo indica que cuando el contribuyente requiera presentar ante terceros o cuando alguna autoridad solicite copia de la declaración, podrá utilizarse “</w:t>
      </w:r>
      <w:r w:rsidRPr="003370F7">
        <w:rPr>
          <w:rFonts w:eastAsia="Times New Roman" w:cs="Times New Roman"/>
          <w:szCs w:val="24"/>
          <w:u w:val="single"/>
          <w:lang w:eastAsia="es-CO"/>
        </w:rPr>
        <w:t>la impresión en papel que se haga de las declaraciones electrónicas</w:t>
      </w:r>
      <w:r w:rsidRPr="003370F7">
        <w:rPr>
          <w:rFonts w:eastAsia="Times New Roman" w:cs="Times New Roman"/>
          <w:szCs w:val="24"/>
          <w:lang w:eastAsia="es-CO"/>
        </w:rPr>
        <w:t>”, pero advierte que para que este documento tenga valor probatorio, deberá cumplir las siguientes formalidades: i) que haya sido impreso exclusivamente con los mecanismos establecidos en el sistema de declaración y pago electrónico, ii) que se trate del documento completo sin tachaduras o enmendaduras de ninguna clase y iii) que en él estén plenamente identificados los dígitos de control manual y automático asignados por la DIAN.</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De otra parte, dispone expresamente que </w:t>
      </w:r>
      <w:r w:rsidRPr="003370F7">
        <w:rPr>
          <w:rFonts w:eastAsia="Times New Roman" w:cs="Times New Roman"/>
          <w:szCs w:val="24"/>
          <w:u w:val="single"/>
          <w:lang w:eastAsia="es-CO"/>
        </w:rPr>
        <w:t>la impresión en papel que se haga de las declaraciones electrónicas</w:t>
      </w:r>
      <w:r w:rsidRPr="003370F7">
        <w:rPr>
          <w:rFonts w:eastAsia="Times New Roman" w:cs="Times New Roman"/>
          <w:szCs w:val="24"/>
          <w:lang w:eastAsia="es-CO"/>
        </w:rPr>
        <w:t>, sólo tendrá valor probatorio, si cumple los requisitos señalados; además, que si el tercero ante quien se presenten las declaraciones en forma impresa quiere </w:t>
      </w:r>
      <w:r w:rsidRPr="003370F7">
        <w:rPr>
          <w:rFonts w:eastAsia="Times New Roman" w:cs="Times New Roman"/>
          <w:szCs w:val="24"/>
          <w:u w:val="single"/>
          <w:lang w:eastAsia="es-CO"/>
        </w:rPr>
        <w:t>tener certeza de la validez</w:t>
      </w:r>
      <w:r w:rsidRPr="003370F7">
        <w:rPr>
          <w:rFonts w:eastAsia="Times New Roman" w:cs="Times New Roman"/>
          <w:szCs w:val="24"/>
          <w:lang w:eastAsia="es-CO"/>
        </w:rPr>
        <w:t> de dicho documento, podrá solicitar la confirmación ante la DIAN.</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El Estatuto Tributario prevé que son obligaciones del agente retenedor efectuar la retención</w:t>
      </w:r>
      <w:bookmarkStart w:id="6" w:name="_ftnref6"/>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"_ftn6"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[6]</w:t>
      </w:r>
      <w:r w:rsidRPr="003370F7">
        <w:rPr>
          <w:rFonts w:eastAsia="Times New Roman" w:cs="Times New Roman"/>
          <w:szCs w:val="24"/>
          <w:lang w:eastAsia="es-CO"/>
        </w:rPr>
        <w:fldChar w:fldCharType="end"/>
      </w:r>
      <w:bookmarkEnd w:id="6"/>
      <w:r w:rsidRPr="003370F7">
        <w:rPr>
          <w:rFonts w:eastAsia="Times New Roman" w:cs="Times New Roman"/>
          <w:szCs w:val="24"/>
          <w:lang w:eastAsia="es-CO"/>
        </w:rPr>
        <w:t>, consignar lo retenido</w:t>
      </w:r>
      <w:bookmarkStart w:id="7" w:name="_ftnref7"/>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"_ftn7"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[7]</w:t>
      </w:r>
      <w:r w:rsidRPr="003370F7">
        <w:rPr>
          <w:rFonts w:eastAsia="Times New Roman" w:cs="Times New Roman"/>
          <w:szCs w:val="24"/>
          <w:lang w:eastAsia="es-CO"/>
        </w:rPr>
        <w:fldChar w:fldCharType="end"/>
      </w:r>
      <w:bookmarkEnd w:id="7"/>
      <w:r w:rsidRPr="003370F7">
        <w:rPr>
          <w:rFonts w:eastAsia="Times New Roman" w:cs="Times New Roman"/>
          <w:szCs w:val="24"/>
          <w:lang w:eastAsia="es-CO"/>
        </w:rPr>
        <w:t>, pagar los intereses moratorios</w:t>
      </w:r>
      <w:bookmarkStart w:id="8" w:name="_ftnref8"/>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"_ftn8"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[8]</w:t>
      </w:r>
      <w:r w:rsidRPr="003370F7">
        <w:rPr>
          <w:rFonts w:eastAsia="Times New Roman" w:cs="Times New Roman"/>
          <w:szCs w:val="24"/>
          <w:lang w:eastAsia="es-CO"/>
        </w:rPr>
        <w:fldChar w:fldCharType="end"/>
      </w:r>
      <w:bookmarkEnd w:id="8"/>
      <w:r w:rsidRPr="003370F7">
        <w:rPr>
          <w:rFonts w:eastAsia="Times New Roman" w:cs="Times New Roman"/>
          <w:szCs w:val="24"/>
          <w:lang w:eastAsia="es-CO"/>
        </w:rPr>
        <w:t>, en caso de hacerlo por fuera del plazo legal, expedir los certificados</w:t>
      </w:r>
      <w:bookmarkStart w:id="9" w:name="_ftnref9"/>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"_ftn9"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[9]</w:t>
      </w:r>
      <w:r w:rsidRPr="003370F7">
        <w:rPr>
          <w:rFonts w:eastAsia="Times New Roman" w:cs="Times New Roman"/>
          <w:szCs w:val="24"/>
          <w:lang w:eastAsia="es-CO"/>
        </w:rPr>
        <w:fldChar w:fldCharType="end"/>
      </w:r>
      <w:bookmarkEnd w:id="9"/>
      <w:r w:rsidRPr="003370F7">
        <w:rPr>
          <w:rFonts w:eastAsia="Times New Roman" w:cs="Times New Roman"/>
          <w:szCs w:val="24"/>
          <w:lang w:eastAsia="es-CO"/>
        </w:rPr>
        <w:t> y presentar la declaración mensual de las retenciones que debieron efectuar durante el respectivo mes</w:t>
      </w:r>
      <w:bookmarkStart w:id="10" w:name="_ftnref10"/>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"_ftn10"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[10]</w:t>
      </w:r>
      <w:r w:rsidRPr="003370F7">
        <w:rPr>
          <w:rFonts w:eastAsia="Times New Roman" w:cs="Times New Roman"/>
          <w:szCs w:val="24"/>
          <w:lang w:eastAsia="es-CO"/>
        </w:rPr>
        <w:fldChar w:fldCharType="end"/>
      </w:r>
      <w:bookmarkEnd w:id="10"/>
      <w:r w:rsidRPr="003370F7">
        <w:rPr>
          <w:rFonts w:eastAsia="Times New Roman" w:cs="Times New Roman"/>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b/>
          <w:bCs/>
          <w:szCs w:val="24"/>
          <w:lang w:eastAsia="es-CO"/>
        </w:rPr>
        <w:t>2. Sanción por no declarar.</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El ordenamiento jurídico establece un trámite particular dirigido contra los contribuyentes, responsables, agentes retenedores o declarantes obligados a presentar las declaraciones que omitan su cumplimiento, regulado por el Estatuto Tributario Nacional en los artículos 715 a 719.</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lastRenderedPageBreak/>
        <w:t>De conformidad con los artículos </w:t>
      </w:r>
      <w:hyperlink r:id="rId22" w:tooltip="Estatuto Tributario CETA" w:history="1">
        <w:r w:rsidRPr="003370F7">
          <w:rPr>
            <w:rFonts w:eastAsia="Times New Roman" w:cs="Times New Roman"/>
            <w:szCs w:val="24"/>
            <w:lang w:eastAsia="es-CO"/>
          </w:rPr>
          <w:t>715</w:t>
        </w:r>
      </w:hyperlink>
      <w:r w:rsidRPr="003370F7">
        <w:rPr>
          <w:rFonts w:eastAsia="Times New Roman" w:cs="Times New Roman"/>
          <w:szCs w:val="24"/>
          <w:lang w:eastAsia="es-CO"/>
        </w:rPr>
        <w:t> </w:t>
      </w:r>
      <w:bookmarkStart w:id="11" w:name="_ftnref11"/>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"_ftn11"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[11]</w:t>
      </w:r>
      <w:r w:rsidRPr="003370F7">
        <w:rPr>
          <w:rFonts w:eastAsia="Times New Roman" w:cs="Times New Roman"/>
          <w:szCs w:val="24"/>
          <w:lang w:eastAsia="es-CO"/>
        </w:rPr>
        <w:fldChar w:fldCharType="end"/>
      </w:r>
      <w:bookmarkEnd w:id="11"/>
      <w:r w:rsidRPr="003370F7">
        <w:rPr>
          <w:rFonts w:eastAsia="Times New Roman" w:cs="Times New Roman"/>
          <w:szCs w:val="24"/>
          <w:lang w:eastAsia="es-CO"/>
        </w:rPr>
        <w:t> y </w:t>
      </w:r>
      <w:hyperlink r:id="rId23" w:tooltip="Estatuto Tributario CETA" w:history="1">
        <w:r w:rsidRPr="003370F7">
          <w:rPr>
            <w:rFonts w:eastAsia="Times New Roman" w:cs="Times New Roman"/>
            <w:szCs w:val="24"/>
            <w:lang w:eastAsia="es-CO"/>
          </w:rPr>
          <w:t>716</w:t>
        </w:r>
      </w:hyperlink>
      <w:r w:rsidRPr="003370F7">
        <w:rPr>
          <w:rFonts w:eastAsia="Times New Roman" w:cs="Times New Roman"/>
          <w:szCs w:val="24"/>
          <w:lang w:eastAsia="es-CO"/>
        </w:rPr>
        <w:t> </w:t>
      </w:r>
      <w:bookmarkStart w:id="12" w:name="_ftnref12"/>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"_ftn12"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[12]</w:t>
      </w:r>
      <w:r w:rsidRPr="003370F7">
        <w:rPr>
          <w:rFonts w:eastAsia="Times New Roman" w:cs="Times New Roman"/>
          <w:szCs w:val="24"/>
          <w:lang w:eastAsia="es-CO"/>
        </w:rPr>
        <w:fldChar w:fldCharType="end"/>
      </w:r>
      <w:bookmarkEnd w:id="12"/>
      <w:r w:rsidRPr="003370F7">
        <w:rPr>
          <w:rFonts w:eastAsia="Times New Roman" w:cs="Times New Roman"/>
          <w:szCs w:val="24"/>
          <w:lang w:eastAsia="es-CO"/>
        </w:rPr>
        <w:t> ib., el trámite que se adelanta contra los obligados a declarar que omitan el cumplimiento de este deber, se inicia con el denominado </w:t>
      </w:r>
      <w:r w:rsidRPr="003370F7">
        <w:rPr>
          <w:rFonts w:eastAsia="Times New Roman" w:cs="Times New Roman"/>
          <w:b/>
          <w:bCs/>
          <w:i/>
          <w:iCs/>
          <w:szCs w:val="24"/>
          <w:lang w:eastAsia="es-CO"/>
        </w:rPr>
        <w:t>emplazamiento para declarar</w:t>
      </w:r>
      <w:r w:rsidRPr="003370F7">
        <w:rPr>
          <w:rFonts w:eastAsia="Times New Roman" w:cs="Times New Roman"/>
          <w:szCs w:val="24"/>
          <w:lang w:eastAsia="es-CO"/>
        </w:rPr>
        <w:t>. Acto mediante el cual la Administración invita a los que previamente haya comprobado que están obligados a ello, para que cumplan ese deber dentro del término de un mes y les advierte las consecuencias en caso de persistir en su omisión.</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El efecto jurídico de no cumplir esta obligación dentro del plazo otorgado en el emplazamiento, es la imposición de la </w:t>
      </w:r>
      <w:r w:rsidRPr="003370F7">
        <w:rPr>
          <w:rFonts w:eastAsia="Times New Roman" w:cs="Times New Roman"/>
          <w:b/>
          <w:bCs/>
          <w:i/>
          <w:iCs/>
          <w:szCs w:val="24"/>
          <w:lang w:eastAsia="es-CO"/>
        </w:rPr>
        <w:t>sanción por no declarar. </w:t>
      </w:r>
      <w:r w:rsidRPr="003370F7">
        <w:rPr>
          <w:rFonts w:eastAsia="Times New Roman" w:cs="Times New Roman"/>
          <w:szCs w:val="24"/>
          <w:lang w:eastAsia="es-CO"/>
        </w:rPr>
        <w:t>En el caso, sería la prevista en el numeral 3° del </w:t>
      </w:r>
      <w:hyperlink r:id="rId24" w:tooltip="Estatuto Tributario CETA" w:history="1">
        <w:r w:rsidRPr="003370F7">
          <w:rPr>
            <w:rFonts w:eastAsia="Times New Roman" w:cs="Times New Roman"/>
            <w:szCs w:val="24"/>
            <w:lang w:eastAsia="es-CO"/>
          </w:rPr>
          <w:t>artículo 643</w:t>
        </w:r>
      </w:hyperlink>
      <w:r w:rsidRPr="003370F7">
        <w:rPr>
          <w:rFonts w:eastAsia="Times New Roman" w:cs="Times New Roman"/>
          <w:szCs w:val="24"/>
          <w:lang w:eastAsia="es-CO"/>
        </w:rPr>
        <w:t> del Estatuto Tributario</w:t>
      </w:r>
      <w:bookmarkStart w:id="13" w:name="_ftnref13"/>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"_ftn13"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[13]</w:t>
      </w:r>
      <w:r w:rsidRPr="003370F7">
        <w:rPr>
          <w:rFonts w:eastAsia="Times New Roman" w:cs="Times New Roman"/>
          <w:szCs w:val="24"/>
          <w:lang w:eastAsia="es-CO"/>
        </w:rPr>
        <w:fldChar w:fldCharType="end"/>
      </w:r>
      <w:bookmarkEnd w:id="13"/>
      <w:r w:rsidRPr="003370F7">
        <w:rPr>
          <w:rFonts w:eastAsia="Times New Roman" w:cs="Times New Roman"/>
          <w:szCs w:val="24"/>
          <w:lang w:eastAsia="es-CO"/>
        </w:rPr>
        <w:t>, pues se trata de la omisión de informar a la autoridad tributaria las retenciones practicadas en el período.</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Agotado el procedimiento previsto en los citados artículos </w:t>
      </w:r>
      <w:hyperlink r:id="rId25" w:tooltip="Estatuto Tributario CETA" w:history="1">
        <w:r w:rsidRPr="003370F7">
          <w:rPr>
            <w:rFonts w:eastAsia="Times New Roman" w:cs="Times New Roman"/>
            <w:szCs w:val="24"/>
            <w:lang w:eastAsia="es-CO"/>
          </w:rPr>
          <w:t>643</w:t>
        </w:r>
      </w:hyperlink>
      <w:r w:rsidRPr="003370F7">
        <w:rPr>
          <w:rFonts w:eastAsia="Times New Roman" w:cs="Times New Roman"/>
          <w:szCs w:val="24"/>
          <w:lang w:eastAsia="es-CO"/>
        </w:rPr>
        <w:t>, </w:t>
      </w:r>
      <w:hyperlink r:id="rId26" w:tooltip="Estatuto Tributario CETA" w:history="1">
        <w:r w:rsidRPr="003370F7">
          <w:rPr>
            <w:rFonts w:eastAsia="Times New Roman" w:cs="Times New Roman"/>
            <w:szCs w:val="24"/>
            <w:lang w:eastAsia="es-CO"/>
          </w:rPr>
          <w:t>715</w:t>
        </w:r>
      </w:hyperlink>
      <w:r w:rsidRPr="003370F7">
        <w:rPr>
          <w:rFonts w:eastAsia="Times New Roman" w:cs="Times New Roman"/>
          <w:szCs w:val="24"/>
          <w:lang w:eastAsia="es-CO"/>
        </w:rPr>
        <w:t> y </w:t>
      </w:r>
      <w:hyperlink r:id="rId27" w:tooltip="Estatuto Tributario CETA" w:history="1">
        <w:r w:rsidRPr="003370F7">
          <w:rPr>
            <w:rFonts w:eastAsia="Times New Roman" w:cs="Times New Roman"/>
            <w:szCs w:val="24"/>
            <w:lang w:eastAsia="es-CO"/>
          </w:rPr>
          <w:t>716</w:t>
        </w:r>
      </w:hyperlink>
      <w:r w:rsidRPr="003370F7">
        <w:rPr>
          <w:rFonts w:eastAsia="Times New Roman" w:cs="Times New Roman"/>
          <w:szCs w:val="24"/>
          <w:lang w:eastAsia="es-CO"/>
        </w:rPr>
        <w:t> del E.T., dentro de los cinco años siguientes al vencimiento del plazo señalado para declarar, la Administración puede determinar mediante liquidación oficial de aforo la obligación tributaria de quien no haya declarado estando obligado a ello, según lo dispuesto en el </w:t>
      </w:r>
      <w:hyperlink r:id="rId28" w:tooltip="Estatuto Tributario CETA" w:history="1">
        <w:r w:rsidRPr="003370F7">
          <w:rPr>
            <w:rFonts w:eastAsia="Times New Roman" w:cs="Times New Roman"/>
            <w:szCs w:val="24"/>
            <w:lang w:eastAsia="es-CO"/>
          </w:rPr>
          <w:t>artículo 717</w:t>
        </w:r>
      </w:hyperlink>
      <w:r w:rsidRPr="003370F7">
        <w:rPr>
          <w:rFonts w:eastAsia="Times New Roman" w:cs="Times New Roman"/>
          <w:szCs w:val="24"/>
          <w:lang w:eastAsia="es-CO"/>
        </w:rPr>
        <w:t> ib.</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b/>
          <w:bCs/>
          <w:szCs w:val="24"/>
          <w:lang w:eastAsia="es-CO"/>
        </w:rPr>
        <w:t>3. Prueba del cumplimiento del deber de presentar las declaraciones por el “Sistema Declaración y Pago Electrónico de la DIAN”</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En materia probatoria, el Código Contencioso Administrativo (art. 168) remite al Código de Procedimiento Civil en cuanto sus normas resulten compatibles, no obstante, tratándose de asuntos de carácter tributario, debe consultar las reglas que establece el Estatuto Tributario (</w:t>
      </w:r>
      <w:hyperlink r:id="rId29" w:tooltip="Estatuto Tributario CETA" w:history="1">
        <w:r w:rsidRPr="003370F7">
          <w:rPr>
            <w:rFonts w:eastAsia="Times New Roman" w:cs="Times New Roman"/>
            <w:szCs w:val="24"/>
            <w:lang w:eastAsia="es-CO"/>
          </w:rPr>
          <w:t>art. 742</w:t>
        </w:r>
      </w:hyperlink>
      <w:r w:rsidRPr="003370F7">
        <w:rPr>
          <w:rFonts w:eastAsia="Times New Roman" w:cs="Times New Roman"/>
          <w:szCs w:val="24"/>
          <w:lang w:eastAsia="es-CO"/>
        </w:rPr>
        <w:t> y s.s.), ordenamiento que también remite a las normas del C. de P. C.</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El artículo 177 del C. de P. C. consagra el principio según el cual “incumbe a las partes probar el supuesto de hecho de las normas que consagran el efecto jurídico que ellas persiguen”.</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La Sala ha sostenido que con la entrada en vigencia del Decreto Ley 2150 de 1995 y la habilitación de sistemas de transmisión electrónica de datos en las entidades públicas, se implementó la utilización del documento electrónico para que los usuarios envíen o reciban información por este medio</w:t>
      </w:r>
      <w:bookmarkStart w:id="14" w:name="_ftnref14"/>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"_ftn14"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[14]</w:t>
      </w:r>
      <w:r w:rsidRPr="003370F7">
        <w:rPr>
          <w:rFonts w:eastAsia="Times New Roman" w:cs="Times New Roman"/>
          <w:szCs w:val="24"/>
          <w:lang w:eastAsia="es-CO"/>
        </w:rPr>
        <w:fldChar w:fldCharType="end"/>
      </w:r>
      <w:bookmarkEnd w:id="14"/>
      <w:r w:rsidRPr="003370F7">
        <w:rPr>
          <w:rFonts w:eastAsia="Times New Roman" w:cs="Times New Roman"/>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La Ley 383 de 1997 adicionó el </w:t>
      </w:r>
      <w:hyperlink r:id="rId30" w:tooltip="Estatuto Tributario CETA" w:history="1">
        <w:r w:rsidRPr="003370F7">
          <w:rPr>
            <w:rFonts w:eastAsia="Times New Roman" w:cs="Times New Roman"/>
            <w:szCs w:val="24"/>
            <w:lang w:eastAsia="es-CO"/>
          </w:rPr>
          <w:t>artículo 579-2</w:t>
        </w:r>
      </w:hyperlink>
      <w:r w:rsidRPr="003370F7">
        <w:rPr>
          <w:rFonts w:eastAsia="Times New Roman" w:cs="Times New Roman"/>
          <w:szCs w:val="24"/>
          <w:lang w:eastAsia="es-CO"/>
        </w:rPr>
        <w:t> del Estatuto Tributario con lo cual introdujo la posibilidad de la presentación electrónica de declaraciones; artículo modificado por el artículo 38 de la Ley 633 de 2000 que atribuyó al Director de la DIAN la facultad de señalar los contribuyentes, responsables o agentes retenedores obligados a declarar por ese medio.</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Las declaraciones presentadas por esta herramienta tecnológica dan origen a la </w:t>
      </w:r>
      <w:r w:rsidRPr="003370F7">
        <w:rPr>
          <w:rFonts w:eastAsia="Times New Roman" w:cs="Times New Roman"/>
          <w:b/>
          <w:bCs/>
          <w:szCs w:val="24"/>
          <w:lang w:eastAsia="es-CO"/>
        </w:rPr>
        <w:t>declaración electrónica</w:t>
      </w:r>
      <w:r w:rsidRPr="003370F7">
        <w:rPr>
          <w:rFonts w:eastAsia="Times New Roman" w:cs="Times New Roman"/>
          <w:szCs w:val="24"/>
          <w:lang w:eastAsia="es-CO"/>
        </w:rPr>
        <w:t>. Así, para probar el cumplimiento del deber de informar, deberá acreditarse la existencia del documento electrónico</w:t>
      </w:r>
      <w:bookmarkStart w:id="15" w:name="_ftnref15"/>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"_ftn15"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[15]</w:t>
      </w:r>
      <w:r w:rsidRPr="003370F7">
        <w:rPr>
          <w:rFonts w:eastAsia="Times New Roman" w:cs="Times New Roman"/>
          <w:szCs w:val="24"/>
          <w:lang w:eastAsia="es-CO"/>
        </w:rPr>
        <w:fldChar w:fldCharType="end"/>
      </w:r>
      <w:bookmarkEnd w:id="15"/>
      <w:r w:rsidRPr="003370F7">
        <w:rPr>
          <w:rFonts w:eastAsia="Times New Roman" w:cs="Times New Roman"/>
          <w:szCs w:val="24"/>
          <w:lang w:eastAsia="es-CO"/>
        </w:rPr>
        <w:t xml:space="preserve">. Para este efecto, podría acreditar que el mensaje llegó al servidor de la DIAN, mediante certificado técnico de que el mensaje cumple con los elementos esenciales para considerarlo como tal expedido por la entidad de </w:t>
      </w:r>
      <w:r w:rsidRPr="003370F7">
        <w:rPr>
          <w:rFonts w:eastAsia="Times New Roman" w:cs="Times New Roman"/>
          <w:szCs w:val="24"/>
          <w:lang w:eastAsia="es-CO"/>
        </w:rPr>
        <w:lastRenderedPageBreak/>
        <w:t>certificación</w:t>
      </w:r>
      <w:bookmarkStart w:id="16" w:name="_ftnref16"/>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"_ftn16"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[16]</w:t>
      </w:r>
      <w:r w:rsidRPr="003370F7">
        <w:rPr>
          <w:rFonts w:eastAsia="Times New Roman" w:cs="Times New Roman"/>
          <w:szCs w:val="24"/>
          <w:lang w:eastAsia="es-CO"/>
        </w:rPr>
        <w:fldChar w:fldCharType="end"/>
      </w:r>
      <w:bookmarkEnd w:id="16"/>
      <w:r w:rsidRPr="003370F7">
        <w:rPr>
          <w:rFonts w:eastAsia="Times New Roman" w:cs="Times New Roman"/>
          <w:szCs w:val="24"/>
          <w:lang w:eastAsia="es-CO"/>
        </w:rPr>
        <w:t> o materializar la información que, en su momento, transmitió el obligado haciendo uso del software del Sistema de Declaración y Pago Electrónico y que debe reposar en las bases de datos de la entidad fiscal</w:t>
      </w:r>
      <w:bookmarkStart w:id="17" w:name="_ftnref17"/>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"_ftn17"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[17]</w:t>
      </w:r>
      <w:r w:rsidRPr="003370F7">
        <w:rPr>
          <w:rFonts w:eastAsia="Times New Roman" w:cs="Times New Roman"/>
          <w:szCs w:val="24"/>
          <w:lang w:eastAsia="es-CO"/>
        </w:rPr>
        <w:fldChar w:fldCharType="end"/>
      </w:r>
      <w:bookmarkEnd w:id="17"/>
      <w:r w:rsidRPr="003370F7">
        <w:rPr>
          <w:rFonts w:eastAsia="Times New Roman" w:cs="Times New Roman"/>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Ahora bien, en cuanto a los fundamentos de hecho, la Sala destaca que en el caso resuelto en la sentencia del 2 de agosto de 2012 (Expediente 18696), se aportaron pruebas similares a las que se aportan en este proceso, de cuya valoración se concluyó que la impresión en papel que se haga de las declaraciones electrónicas, en los términos del Decreto Reglamentario del </w:t>
      </w:r>
      <w:hyperlink r:id="rId31" w:tooltip="Estatuto Tributario CETA" w:history="1">
        <w:r w:rsidRPr="003370F7">
          <w:rPr>
            <w:rFonts w:eastAsia="Times New Roman" w:cs="Times New Roman"/>
            <w:szCs w:val="24"/>
            <w:lang w:eastAsia="es-CO"/>
          </w:rPr>
          <w:t>artículo 579-2</w:t>
        </w:r>
      </w:hyperlink>
      <w:r w:rsidRPr="003370F7">
        <w:rPr>
          <w:rFonts w:eastAsia="Times New Roman" w:cs="Times New Roman"/>
          <w:szCs w:val="24"/>
          <w:lang w:eastAsia="es-CO"/>
        </w:rPr>
        <w:t> del E.T., sólo tendrán valor probatorio en la medida que cumplan los siguientes requisitos legales: i) que haya sido impreso exclusivamente con los mecanismos establecidos en el sistema de declaración y pago electrónico, ii) que se trate del documento completo sin tachaduras o enmendaduras de ninguna clase y iii) que en él estén plenamente identificados los dígitos de control manual y automático asignados por la DIAN.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El demandante discrepa del análisis que hizo el </w:t>
      </w:r>
      <w:r w:rsidRPr="003370F7">
        <w:rPr>
          <w:rFonts w:eastAsia="Times New Roman" w:cs="Times New Roman"/>
          <w:i/>
          <w:iCs/>
          <w:szCs w:val="24"/>
          <w:lang w:eastAsia="es-CO"/>
        </w:rPr>
        <w:t>a quo </w:t>
      </w:r>
      <w:r w:rsidRPr="003370F7">
        <w:rPr>
          <w:rFonts w:eastAsia="Times New Roman" w:cs="Times New Roman"/>
          <w:szCs w:val="24"/>
          <w:lang w:eastAsia="es-CO"/>
        </w:rPr>
        <w:t>en la sentencia apelada, [fundamentado en la sentencia del 2 de agosto de 2012, anteriormente reseñada] pues, insiste en que las normas que sustentaron el fallo se deben analizar bajo los principios que rigen el régimen administrativo sancionatorio tributario, pues, en su opinión, ese régimen no es objetivo en la medida en que se debe consultar si el contribuyente actuó de buena fe y si el hecho causó un daño.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Sobre el particular, la Sala considera pertinente reiterar los lineamientos que fijó la Corte Constitucional en la sentencia C-690 de 1996 de la Corte Constitucional.</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Esa sentencia, la Corte se refirió al régimen de responsabilidad objetiva en materia administrativa sancionatoria, al principio de buena fe y su aplicación relativa en materia tributaria, y a lo razonable que resulta suponer que ha actuado de manera dolosa o negligente quien ha incumplido un deber tributario tan claro como es la presentación de la declaración tributaria en debida forma. También aludió a que proceden como eximentes de responsabilidad de la obligación de declarar, la fuerza mayor y el caso fortuito. Así se pronunció la Corte Constitucional:</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Derecho sancionador tributario, culpabilidad y carga de la prueba.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12. Por todo lo anterior, la Corte considera que resulta desproporcionado y violatorio de los principios de equidad y justicia tributarios la consagración de una responsabilidad sin culpa en este campo, por lo cual considera que en este ámbito opera el principio de </w:t>
      </w:r>
      <w:proofErr w:type="spellStart"/>
      <w:r w:rsidRPr="003370F7">
        <w:rPr>
          <w:rFonts w:eastAsia="Times New Roman" w:cs="Times New Roman"/>
          <w:i/>
          <w:iCs/>
          <w:szCs w:val="24"/>
          <w:lang w:eastAsia="es-CO"/>
        </w:rPr>
        <w:t>nulla</w:t>
      </w:r>
      <w:proofErr w:type="spellEnd"/>
      <w:r w:rsidRPr="003370F7">
        <w:rPr>
          <w:rFonts w:eastAsia="Times New Roman" w:cs="Times New Roman"/>
          <w:i/>
          <w:iCs/>
          <w:szCs w:val="24"/>
          <w:lang w:eastAsia="es-CO"/>
        </w:rPr>
        <w:t xml:space="preserve"> </w:t>
      </w:r>
      <w:proofErr w:type="spellStart"/>
      <w:r w:rsidRPr="003370F7">
        <w:rPr>
          <w:rFonts w:eastAsia="Times New Roman" w:cs="Times New Roman"/>
          <w:i/>
          <w:iCs/>
          <w:szCs w:val="24"/>
          <w:lang w:eastAsia="es-CO"/>
        </w:rPr>
        <w:t>poena</w:t>
      </w:r>
      <w:proofErr w:type="spellEnd"/>
      <w:r w:rsidRPr="003370F7">
        <w:rPr>
          <w:rFonts w:eastAsia="Times New Roman" w:cs="Times New Roman"/>
          <w:i/>
          <w:iCs/>
          <w:szCs w:val="24"/>
          <w:lang w:eastAsia="es-CO"/>
        </w:rPr>
        <w:t xml:space="preserve"> sine culpa </w:t>
      </w:r>
      <w:r w:rsidRPr="003370F7">
        <w:rPr>
          <w:rFonts w:eastAsia="Times New Roman" w:cs="Times New Roman"/>
          <w:szCs w:val="24"/>
          <w:lang w:eastAsia="es-CO"/>
        </w:rPr>
        <w:t>como elemento integrante del debido proceso que regula la función punitiva del Estado.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En ese orden de ideas, es indudable que en virtud de la presunción de inocencia, también elemento propio del debido proceso (CP art. 29), corresponde al Estado y, en particular a la administración tributaria, probar que la persona no ha cumplido con su deber de presentar la declaración tributaria para poder imponer las sanciones previstas por la ley. Ahora bien, </w:t>
      </w:r>
      <w:r w:rsidRPr="003370F7">
        <w:rPr>
          <w:rFonts w:eastAsia="Times New Roman" w:cs="Times New Roman"/>
          <w:szCs w:val="24"/>
          <w:lang w:eastAsia="es-CO"/>
        </w:rPr>
        <w:lastRenderedPageBreak/>
        <w:t xml:space="preserve">probado el incumplimiento de la ley tributaria, que es una exteriorización de la inobservancia de un deber constitucional y legal de particular trascendencia, como es el de contribuir a la financiación de los gastos del Estado (CP art. 95 </w:t>
      </w:r>
      <w:proofErr w:type="spellStart"/>
      <w:r w:rsidRPr="003370F7">
        <w:rPr>
          <w:rFonts w:eastAsia="Times New Roman" w:cs="Times New Roman"/>
          <w:szCs w:val="24"/>
          <w:lang w:eastAsia="es-CO"/>
        </w:rPr>
        <w:t>ord</w:t>
      </w:r>
      <w:proofErr w:type="spellEnd"/>
      <w:r w:rsidRPr="003370F7">
        <w:rPr>
          <w:rFonts w:eastAsia="Times New Roman" w:cs="Times New Roman"/>
          <w:szCs w:val="24"/>
          <w:lang w:eastAsia="es-CO"/>
        </w:rPr>
        <w:t>. 9), el interrogante que surge es el siguiente: ¿es también necesario, en virtud de la presunción de inocencia y del principio </w:t>
      </w:r>
      <w:proofErr w:type="spellStart"/>
      <w:r w:rsidRPr="003370F7">
        <w:rPr>
          <w:rFonts w:eastAsia="Times New Roman" w:cs="Times New Roman"/>
          <w:i/>
          <w:iCs/>
          <w:szCs w:val="24"/>
          <w:lang w:eastAsia="es-CO"/>
        </w:rPr>
        <w:t>nulla</w:t>
      </w:r>
      <w:proofErr w:type="spellEnd"/>
      <w:r w:rsidRPr="003370F7">
        <w:rPr>
          <w:rFonts w:eastAsia="Times New Roman" w:cs="Times New Roman"/>
          <w:i/>
          <w:iCs/>
          <w:szCs w:val="24"/>
          <w:lang w:eastAsia="es-CO"/>
        </w:rPr>
        <w:t xml:space="preserve"> </w:t>
      </w:r>
      <w:proofErr w:type="spellStart"/>
      <w:r w:rsidRPr="003370F7">
        <w:rPr>
          <w:rFonts w:eastAsia="Times New Roman" w:cs="Times New Roman"/>
          <w:i/>
          <w:iCs/>
          <w:szCs w:val="24"/>
          <w:lang w:eastAsia="es-CO"/>
        </w:rPr>
        <w:t>poena</w:t>
      </w:r>
      <w:proofErr w:type="spellEnd"/>
      <w:r w:rsidRPr="003370F7">
        <w:rPr>
          <w:rFonts w:eastAsia="Times New Roman" w:cs="Times New Roman"/>
          <w:i/>
          <w:iCs/>
          <w:szCs w:val="24"/>
          <w:lang w:eastAsia="es-CO"/>
        </w:rPr>
        <w:t xml:space="preserve"> sine culpa, </w:t>
      </w:r>
      <w:r w:rsidRPr="003370F7">
        <w:rPr>
          <w:rFonts w:eastAsia="Times New Roman" w:cs="Times New Roman"/>
          <w:szCs w:val="24"/>
          <w:lang w:eastAsia="es-CO"/>
        </w:rPr>
        <w:t>que el Estado deba probar que la persona efectuó tal conducta omisiva de manera culpable? O, en este campo, ¿la ruptura del deber constitucional y legal puede constituir una base suficiente que permita a la ley presumir la culpabilidad de aquella persona a quien la administración ya ha demostrado fácticamente que no presentó la declaración fiscal en los términos establecidos por la ley?</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13- Para responder a ese interrogante, la Corte recuerda que el debido proceso en general, y el principio de culpabilidad en particular, no se aplican exactamente de la misma forma en materia penal y en el campo tributario, ya que entre el derecho penal y los otros derechos sancionadores existen diferencias que no pueden ser desestimadas. Así, el derecho penal no sólo afecta un derecho tan fundamental como la libertad sino que además sus mandatos se dirigen a todas las personas, por lo cual es natural que en ese campo se apliquen con máximo rigor las garantías del debido proceso. En cambio, otros derechos sancionadores no sólo no afectan la libertad física, pues se imponen otro tipo de sanciones, sino que además sus normas operan en ámbitos específicos, ya que se aplican a personas que están sometidas a una sujeción especial -como los servidores públicos- o a profesionales que tienen determinados deberes especiales, como médicos, abogados o contadores, o son resultados de deberes constitucionales específicos, como en el campo tributario. En estos casos, la Corte ha reconocido que los principios del debido proceso se siguen aplicando pero pueden operar con una cierta flexibilidad en relación con el derecho penal</w:t>
      </w:r>
      <w:bookmarkStart w:id="18" w:name="_ftnref18"/>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"_ftn18"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[18]</w:t>
      </w:r>
      <w:r w:rsidRPr="003370F7">
        <w:rPr>
          <w:rFonts w:eastAsia="Times New Roman" w:cs="Times New Roman"/>
          <w:szCs w:val="24"/>
          <w:lang w:eastAsia="es-CO"/>
        </w:rPr>
        <w:fldChar w:fldCharType="end"/>
      </w:r>
      <w:bookmarkEnd w:id="18"/>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En ese orden de ideas, la sanción administrativa que se impone a quien incumple el deber constitucional de tributar (C.P. art. 95 </w:t>
      </w:r>
      <w:proofErr w:type="spellStart"/>
      <w:r w:rsidRPr="003370F7">
        <w:rPr>
          <w:rFonts w:eastAsia="Times New Roman" w:cs="Times New Roman"/>
          <w:szCs w:val="24"/>
          <w:lang w:eastAsia="es-CO"/>
        </w:rPr>
        <w:t>ord</w:t>
      </w:r>
      <w:proofErr w:type="spellEnd"/>
      <w:r w:rsidRPr="003370F7">
        <w:rPr>
          <w:rFonts w:eastAsia="Times New Roman" w:cs="Times New Roman"/>
          <w:szCs w:val="24"/>
          <w:lang w:eastAsia="es-CO"/>
        </w:rPr>
        <w:t xml:space="preserve"> 9º) goza de ciertas prerrogativas en beneficio de la administración, toda vez que esa facultad es un instrumento que permite la realización de la naturaleza misma del Estado, de tal forma que los derechos y garantías de los ciudadanos se atenúan o matizan en relación con las garantías máximas del derecho penal. Además, no se puede olvidar que uno de los principios que gobiernan el sistema tributario es el de eficiencia, según el cual el Estado debe recaudar los impuestos con el menor costo administrativo posible, a fin de que la cantidad de dinero retirada a los contribuyentes sea casi la misma que la que entra al tesoro del Estado, por lo cual, los procedimientos sancionatorios tributarios deben ser ágiles y lo menos onerosos posibles, con el fin de potenciar el recaudo y disminuir los costos del mismo. En efecto, sería absurdo que componentes importantes de los ingresos fiscales se destinaran a financiar los costos de los procesos administrativos y judiciales creados para asegurar el cumplimiento de los deberes tributarios. Finalmente, en general es razonable suponer que ha actuado de manera dolosa o negligente quien ha incumplido un deber tributario tan claro como es la presentación de la declaración tributaria en debida forma, por lo cual resulta natural considerar que la prueba del hecho -esto de la no presentación de la declaración es un indicio muy grave de la culpabilidad de la persona. Por consiguiente, teniendo en cuenta que las sanciones impuestas en caso de no presentación de la declaración tributaria son de orden monetario, que el cumplimiento de este deber es esencial para que el Estado pueda cumplir sus fines, y conforme al principio de eficiencia, la Corte considera que </w:t>
      </w:r>
      <w:r w:rsidRPr="003370F7">
        <w:rPr>
          <w:rFonts w:eastAsia="Times New Roman" w:cs="Times New Roman"/>
          <w:szCs w:val="24"/>
          <w:lang w:eastAsia="es-CO"/>
        </w:rPr>
        <w:lastRenderedPageBreak/>
        <w:t xml:space="preserve">una vez </w:t>
      </w:r>
      <w:proofErr w:type="spellStart"/>
      <w:r w:rsidRPr="003370F7">
        <w:rPr>
          <w:rFonts w:eastAsia="Times New Roman" w:cs="Times New Roman"/>
          <w:szCs w:val="24"/>
          <w:lang w:eastAsia="es-CO"/>
        </w:rPr>
        <w:t>probado</w:t>
      </w:r>
      <w:proofErr w:type="spellEnd"/>
      <w:r w:rsidRPr="003370F7">
        <w:rPr>
          <w:rFonts w:eastAsia="Times New Roman" w:cs="Times New Roman"/>
          <w:szCs w:val="24"/>
          <w:lang w:eastAsia="es-CO"/>
        </w:rPr>
        <w:t xml:space="preserve"> por la administración que la persona fácticamente no ha presentado su declaración fiscal, entonces es admisible [que] la ley presuma que la actuación ha sido culpable, esto es, dolosa o negligente.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14- Lo anterior no implica una negación de la presunción de inocencia, la cual sería inconstitucional, pero constituye una disminución de la actividad probatoria exigida al Estado, pues ante la evidencia del incumplimiento del deber de presentar la declaración tributaria, la administración ya tiene la prueba que hace razonable presumir la culpabilidad del contribuyente. En este orden de ideas, la flexibilidad del principio de prueba de la culpabilidad en este campo no implica empero condonación de la prueba para la administración, puesto que en sanciones de tipo administrativo, tales como las que se imponen en ejercicio del poder de policía o las sanciones de origen tributario, deben estar sujetas a la evidencia del incumplimiento, en este caso la no presentación de la obligación tributaria, la cual hace razonable la presunción de negligencia o dolo del contribuyente.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Sin embargo, el principio de culpabilidad quedaría anulado con grave afectación del debido proceso administrativo, y principalmente del derecho a ser oído, si no se le permite al contribuyente presentar elementos de descargo que demuestren que su conducta no ha sido culpable, por ejemplo, por cuanto no le era posible presentar personalmente la declaración por haberse encontrado secuestrado en ese tiempo, por lo cual ésta fue presentada por un agente oficioso. Estos descargos no son entonces simples negativas de la evidencia, sino pruebas certeras que demuestran el advenimiento de hechos ajenos a la culpa de la persona obligada a declarar, las cuales deben ser tomadas en consideración por la Administración, puesto que como ya se indicó en esta sentencia, resulta contrario al debido proceso, a la dignidad humana y a la equidad y justicia tributarias (CP art. 1º, 29 y 363) sancionar a la persona por el sólo hecho de incumplir el deber de presentar la declaración fiscal, cuando la propia persona ha demostrado que el incumplimiento no le es imputable sino que es consecuencia de un caso fortuito o una fuerza mayor.</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Sala también ha seguido los lineamientos de la sentencia C-160 de 1998, al analizar la obligación formal de suministrar la información exógena. Precisó, entre otros, los siguientes criterios relevantes para el caso que ahora se analizan: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Que el ejercicio de la potestad sancionadora de la administración se encuentra limitado por el respeto a los principios y garantías que rigen el debido proceso, tal como lo expresa el artículo 29 de la Constitución.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Que los principios y garantías propios del derecho penal, con ciertos matices, pueden ser aplicados en el campo de las sanciones administrativas, y, concretamente, a las infracciones tributarias. Aplicación que debe hacerse en forma restrictiva, a efectos de garantizar el interés general implícito en ellas, y sin desnaturalizar las características de cada una de las áreas en las que el Estado ejerce su facultad sancionadora.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Que los principios que inspiran el debido proceso, tienen aplicación en el campo de las infracciones administrativas, incluidas las tributarias, aplicación que debe conciliar los intereses generales del Estado y los individuales del administrado. Por tanto, estos principios deben ser analizados en cada caso, a efectos de darles el alcance correspondiente.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 El principio de legalidad, propio del estado de derecho y, por ende, aplicable a todo el ordenamiento normativo, donde se haga uso del poder punitivo, impone que, para la aplicación de una sanción, exista un precepto en donde se describa claramente la conducta reprochable (tipicidad).</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Que el poder que se reconoce a la administración, para la aplicación de estas normas, no es ilimitado y discrecional, pues, la función sancionadora debe ejercerse dentro de los límites de la equidad y la justicia, tal como lo ordena la Constitución y el </w:t>
      </w:r>
      <w:hyperlink r:id="rId32" w:tooltip="Estatuto Tributario CETA" w:history="1">
        <w:r w:rsidRPr="003370F7">
          <w:rPr>
            <w:rFonts w:eastAsia="Times New Roman" w:cs="Times New Roman"/>
            <w:szCs w:val="24"/>
            <w:lang w:eastAsia="es-CO"/>
          </w:rPr>
          <w:t>artículo 683</w:t>
        </w:r>
      </w:hyperlink>
      <w:r w:rsidRPr="003370F7">
        <w:rPr>
          <w:rFonts w:eastAsia="Times New Roman" w:cs="Times New Roman"/>
          <w:szCs w:val="24"/>
          <w:lang w:eastAsia="es-CO"/>
        </w:rPr>
        <w:t> del Estatuto Tributario, según el cual “... la aplicación recta de las leyes deberá estar presidida por un relevante espíritu de justicia, [según el cual] el Estado no aspira a que al contribuyente se le exija más de aquello con lo que la misma ley ha querido que coadyuve a las cargas públicas de la Nación”.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Que las sanciones que puede imponer la administración deben estar enmarcadas en criterios de proporcionalidad y razonabilidad que legitimen su poder sancionador.</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Que la proporcionalidad y razonabilidad de las sanciones, en el marco de las infracciones tributarias tiene un claro fundamento en el principio de equidad, consagrado en el artículo 363 de la Constitución, equidad que, … no sólo debe predicarse de la obligación tributaria sustancial, sino que debe imperar en la aplicación y cuantificación de las sanciones que puedan llegarse a imponer, tanto por el desconocimiento de obligaciones tributarias de carácter sustancial, como de las accesorias a ella. Que el legislador, en este caso, es el primer llamado a dar prevalencia a estos principios, fijando sanciones razonables y proporcionadas al hecho que se sanciona. Pero, igualmente, los funcionarios encargados de su aplicación, están obligados a su observancia.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Aunado a lo anterior, se tiene que el artículo 197 de la Ley 1607 de 2012</w:t>
      </w:r>
      <w:bookmarkStart w:id="19" w:name="_ftnref19"/>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"_ftn19"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[19]</w:t>
      </w:r>
      <w:r w:rsidRPr="003370F7">
        <w:rPr>
          <w:rFonts w:eastAsia="Times New Roman" w:cs="Times New Roman"/>
          <w:szCs w:val="24"/>
          <w:lang w:eastAsia="es-CO"/>
        </w:rPr>
        <w:fldChar w:fldCharType="end"/>
      </w:r>
      <w:bookmarkEnd w:id="19"/>
      <w:r w:rsidRPr="003370F7">
        <w:rPr>
          <w:rFonts w:eastAsia="Times New Roman" w:cs="Times New Roman"/>
          <w:szCs w:val="24"/>
          <w:lang w:eastAsia="es-CO"/>
        </w:rPr>
        <w:t>, y, posteriormente, el artículo 282 de la Ley 1819 de 2016, regularon el principio de lesividad y favorabilidad</w:t>
      </w:r>
      <w:bookmarkStart w:id="20" w:name="_ftnref20"/>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"_ftn20"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[20]</w:t>
      </w:r>
      <w:r w:rsidRPr="003370F7">
        <w:rPr>
          <w:rFonts w:eastAsia="Times New Roman" w:cs="Times New Roman"/>
          <w:szCs w:val="24"/>
          <w:lang w:eastAsia="es-CO"/>
        </w:rPr>
        <w:fldChar w:fldCharType="end"/>
      </w:r>
      <w:bookmarkEnd w:id="20"/>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Aunque la Ley 1607 de 2012 precisó que de manera restrictiva que, en virtud del principio de lesividad, una falta será antijurídica cuando afecte el recaudo nacional, la Ley 1819 de 2016 modificó esa norma para precisar que habrá lesividad siempre que el contribuyente incumpla con sus obligaciones tributarias.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Todo lo expuesto para reiterar que el hecho objetivo de no presentar una declaración tributaria sigue constituyendo una infracción administrativa objeto de sanción, pues así está tipificada en la normativa tributaria. No obstante, el agente responsable puede ser exonerado de la sanción en la medida que pruebe que cumplió la obligación, o que no la cumplió por un hecho constitutivo de fuerza mayor o caso fortuito, o que a pesar de que el hecho se tipificó, no causó un daño.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3.3. El caso concreto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En el contexto analizado, la Sala procede a analizar si: (i) los documentos que la demandante aportó como prueba demuestran que hizo todo lo que razonable y jurídicamente le correspondía para presentar por medio electrónico la declaración de retención en la fuente por el período 4 de 2003, y que no se le generó daño al Estado, pues pagó las retenciones el </w:t>
      </w:r>
      <w:r w:rsidRPr="003370F7">
        <w:rPr>
          <w:rFonts w:eastAsia="Times New Roman" w:cs="Times New Roman"/>
          <w:szCs w:val="24"/>
          <w:lang w:eastAsia="es-CO"/>
        </w:rPr>
        <w:lastRenderedPageBreak/>
        <w:t>día que correspondía, (ii) si está probado que ocurrió una falla en el sistema que debe asumir la propia institución pero no el demandante, (iii) si ante la duda generada por la prueba, se puede resolver el caso a favor del demandante, conforme con el </w:t>
      </w:r>
      <w:hyperlink r:id="rId33" w:tooltip="Estatuto Tributario CETA" w:history="1">
        <w:r w:rsidRPr="003370F7">
          <w:rPr>
            <w:rFonts w:eastAsia="Times New Roman" w:cs="Times New Roman"/>
            <w:szCs w:val="24"/>
            <w:lang w:eastAsia="es-CO"/>
          </w:rPr>
          <w:t>artículo 745</w:t>
        </w:r>
      </w:hyperlink>
      <w:r w:rsidRPr="003370F7">
        <w:rPr>
          <w:rFonts w:eastAsia="Times New Roman" w:cs="Times New Roman"/>
          <w:szCs w:val="24"/>
          <w:lang w:eastAsia="es-CO"/>
        </w:rPr>
        <w:t> ET.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3.3.1. Los hechos relevantes para analizar el caso: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Conforme con el último dígito del NIT de la actora (8), el plazo para presentar la declaración de retención en la fuente del cuarto período de 2003 vencía el </w:t>
      </w:r>
      <w:r w:rsidRPr="003370F7">
        <w:rPr>
          <w:rFonts w:eastAsia="Times New Roman" w:cs="Times New Roman"/>
          <w:b/>
          <w:bCs/>
          <w:szCs w:val="24"/>
          <w:lang w:eastAsia="es-CO"/>
        </w:rPr>
        <w:t>12 de mayo de 2003</w:t>
      </w:r>
      <w:r w:rsidRPr="003370F7">
        <w:rPr>
          <w:rFonts w:eastAsia="Times New Roman" w:cs="Times New Roman"/>
          <w:szCs w:val="24"/>
          <w:lang w:eastAsia="es-CO"/>
        </w:rPr>
        <w:t>, conforme con lo dispuesto en el artículo 22 del Decreto 3258 de 2002.</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En los folios 24 a 25 del expediente obran dos copias de la declaración de retención en la fuente correspondiente al cuarto bimestre de 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copia que obra en el folio 24 no tiene la marca de agua que diga “borrador”.</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De su contenido se puede verificar que cuenta con los datos de identificación de la actora y valores en distintos renglones que arrojan como resultado un TOTAL RETENCIONES MÁS SANCIONES de </w:t>
      </w:r>
      <w:r w:rsidRPr="003370F7">
        <w:rPr>
          <w:rFonts w:eastAsia="Times New Roman" w:cs="Times New Roman"/>
          <w:b/>
          <w:bCs/>
          <w:szCs w:val="24"/>
          <w:lang w:eastAsia="es-CO"/>
        </w:rPr>
        <w:t>$119.632.000</w:t>
      </w:r>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Además el documento indica el NOMBRE DECLARANTE ROBERTO CHEHEBAR ESSES y el NOMBRE CONT. PÚBLICO O REV. FISCAL “ELÍAS BOTERO MEJÍA” y los números de identificación correspondientes.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En la parte superior derecha del documento están los siguientes ítems </w:t>
      </w:r>
      <w:r w:rsidRPr="003370F7">
        <w:rPr>
          <w:rFonts w:eastAsia="Times New Roman" w:cs="Times New Roman"/>
          <w:b/>
          <w:bCs/>
          <w:szCs w:val="24"/>
          <w:lang w:eastAsia="es-CO"/>
        </w:rPr>
        <w:t>escritos a mano alzada: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N° DECLARACIÓN 90000011643973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FECHA 12-05-2003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No aparecen registrados números de control automático y manual.</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copia que aparece en el folio 25 tiene la marca de agua que la distingue como “borrador” y no aparecen los nombres del declarante ni del revisor fiscal.</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En el folio 26 aparece una copia de la declaración </w:t>
      </w:r>
      <w:r w:rsidRPr="003370F7">
        <w:rPr>
          <w:rFonts w:eastAsia="Times New Roman" w:cs="Times New Roman"/>
          <w:b/>
          <w:bCs/>
          <w:szCs w:val="24"/>
          <w:lang w:eastAsia="es-CO"/>
        </w:rPr>
        <w:t>90000011643973 del 9 de abril de 2003</w:t>
      </w:r>
      <w:r w:rsidRPr="003370F7">
        <w:rPr>
          <w:rFonts w:eastAsia="Times New Roman" w:cs="Times New Roman"/>
          <w:szCs w:val="24"/>
          <w:lang w:eastAsia="es-CO"/>
        </w:rPr>
        <w:t>, correspondiente a la declaración de retención en la fuente del tercer bimestre del año 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En el folio 27 aparece una copia de la declaración </w:t>
      </w:r>
      <w:r w:rsidRPr="003370F7">
        <w:rPr>
          <w:rFonts w:eastAsia="Times New Roman" w:cs="Times New Roman"/>
          <w:b/>
          <w:bCs/>
          <w:szCs w:val="24"/>
          <w:lang w:eastAsia="es-CO"/>
        </w:rPr>
        <w:t>90000011643973 del 9 de abril de 2003, </w:t>
      </w:r>
      <w:r w:rsidRPr="003370F7">
        <w:rPr>
          <w:rFonts w:eastAsia="Times New Roman" w:cs="Times New Roman"/>
          <w:szCs w:val="24"/>
          <w:lang w:eastAsia="es-CO"/>
        </w:rPr>
        <w:t>correspondiente a la declaración de retención en la fuente del tercer bimestre del año 2003, con la marca de agua que indica que es un “borrador”.</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Estas dos declaraciones se distinguen en cuanto a que la que obra en el folio 26 tiene el número de la declaración y fecha, los números de control automático y de control manual, así como los nombres del declarante y del revisor fiscal, datos que no figuran en la declaración que tiene la marca de agua “borrador”.</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 En los folios 28 y 29 obra copia de los recibos de pago Nos. 90000012023461 y 90000012023329 del 12 de mayo de 2003, presentados en el Banco de Occidente. Estos recibos dan cuenta de que la demandante liquidó y pagó retenciones en cuantía de $74.998.000 y $44.634.000, que en total suman </w:t>
      </w:r>
      <w:r w:rsidRPr="003370F7">
        <w:rPr>
          <w:rFonts w:eastAsia="Times New Roman" w:cs="Times New Roman"/>
          <w:b/>
          <w:bCs/>
          <w:szCs w:val="24"/>
          <w:lang w:eastAsia="es-CO"/>
        </w:rPr>
        <w:t>$119.632.000</w:t>
      </w:r>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En cuanto al concepto de pago, los recibos dan cuenta de que los pagos se imputan al No. de autoadhesivo declaración </w:t>
      </w:r>
      <w:r w:rsidRPr="003370F7">
        <w:rPr>
          <w:rFonts w:eastAsia="Times New Roman" w:cs="Times New Roman"/>
          <w:b/>
          <w:bCs/>
          <w:szCs w:val="24"/>
          <w:lang w:eastAsia="es-CO"/>
        </w:rPr>
        <w:t>90000011643973</w:t>
      </w:r>
      <w:r w:rsidRPr="003370F7">
        <w:rPr>
          <w:rFonts w:eastAsia="Times New Roman" w:cs="Times New Roman"/>
          <w:szCs w:val="24"/>
          <w:lang w:eastAsia="es-CO"/>
        </w:rPr>
        <w:t>, correspondiente a retención en la fuente del cuarto trimestre del año 2003. Estos recibos cuentan con No. de control automático, No. control manual y No. de recibo.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El primero de octubre de 2003, mediante oficio 37705, la DIAN requirió a la demandante para que presentara la declaración de retención en la fuente del cuarto período de 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El 20 de octubre de 2003, la apoderada de la demandante respondió el requerimiento especial, respuesta en la que precisó lo siguiente:</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“El día 12 de mayo de 2003 entré al sistema con el fin de transmitir vía internet la declaración de retención en la fuente correspondiente al período cuatro del presente año. El sistema presentaba dificultades, pero logré entrar con la ayuda del señor Pedro Galindo y el Jefe de Sistemas de nuestra empresa.</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Logramos hacer la declaración e imprimirla en borrador para la revisión del Revisor Fiscal y del Representante Legal. Después de este procedimiento y la aprobación por parte del Revisor Fiscal entramos al sistema nuevamente con la declaración definitiva firmada por el Revisor Fiscal y presentada por el Representante Legal. La declaración fue impresa con los datos definitivos pero no salió el número de control automático, ni el número de la declaración, ni la fecha, ni el control manual.</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Por lo tanto la impresión que recibimos fue de una declaración sin el carácter de borrador y sin ningún código de numeración impreso. En la pantalla veíamos un número que fue el que colocamos a mano en la declaración, pero no estamos seguros de que este corresponda a esta declaración de retención en la fuente.</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Tratamos de sacar los recibos oficiales pero también fue imposible, por lo cual nos comunicamos nuevamente con el señor Galindo y él nos sugirió sacar el recibo especial haciendo relación al número que veíamos en la pantalla pero que no imprimía en la declaración. De todas maneras con base en los recibos especiales pagamos la retención en la fuente por el período del 2003.</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De acuerdo con lo anterior, es evidente que C.I. CREAMODA, presentó y pagó la declaración de retención en la fuente del cuarto bimestre de 2003, por lo cual no procederemos a presentar y pagar una nueva declaración por el mismo período.</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xml:space="preserve">Como esta es una situación muy engorrosa para la empresa, hemos preguntado con otros contribuyentes, y nos han afirmado que esta clase de situaciones han ocurrido varias veces </w:t>
      </w:r>
      <w:r w:rsidRPr="003370F7">
        <w:rPr>
          <w:rFonts w:eastAsia="Times New Roman" w:cs="Times New Roman"/>
          <w:szCs w:val="24"/>
          <w:lang w:eastAsia="es-CO"/>
        </w:rPr>
        <w:lastRenderedPageBreak/>
        <w:t>con otros contribuyentes, de tal manera que el programa que tiene la DIAN para estos efectos presenta sus deficiencias.</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Por las razones anteriores, solicito que este problema se dé traslado a Bogotá para que investiguen dentro de los archivos, esta declaración hasta encontrarla, como ha ocurrido en otras ocasiones, con otros contribuyentes a quienes les ha sucedido lo mismo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Mediante correo electrónico del 24 de junio de 2004, el funcionario Pedro Alejandro Galindo pidió a la funcionaria Isabel Buitrago Arias que verificara la declaración 90000011643973 del 12 de mayo de 2003 correspondiente a la retención en la fuente del cuarto período de 2003, correspondiente a la demandante</w:t>
      </w:r>
      <w:bookmarkStart w:id="21" w:name="_ftnref21"/>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"_ftn21"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[21]</w:t>
      </w:r>
      <w:r w:rsidRPr="003370F7">
        <w:rPr>
          <w:rFonts w:eastAsia="Times New Roman" w:cs="Times New Roman"/>
          <w:szCs w:val="24"/>
          <w:lang w:eastAsia="es-CO"/>
        </w:rPr>
        <w:fldChar w:fldCharType="end"/>
      </w:r>
      <w:bookmarkEnd w:id="21"/>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Mediante correo electrónico del 24 de junio de 2004, el funcionario Manuel Alberto Perea le informa al funcionario Pedro Alejandro Galindo que “el número de la declaración corresponde a una declaración de retención del mes 3 presentada el 20030409. Por el mes cuatro (4) no existe declaración de retención presentada para el NIT 890934898, como lo puede apreciar en el archivo anexo</w:t>
      </w:r>
      <w:bookmarkStart w:id="22" w:name="_ftnref22"/>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"_ftn22"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[22]</w:t>
      </w:r>
      <w:r w:rsidRPr="003370F7">
        <w:rPr>
          <w:rFonts w:eastAsia="Times New Roman" w:cs="Times New Roman"/>
          <w:szCs w:val="24"/>
          <w:lang w:eastAsia="es-CO"/>
        </w:rPr>
        <w:fldChar w:fldCharType="end"/>
      </w:r>
      <w:bookmarkEnd w:id="22"/>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Mediante correo electrónico del 21 de septiembre de 2004, la funcionaria Hilda Cristina Mejía formula la siguiente consulta al nivel central de la DIAN:</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“Cordial saludo Doctores:</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Con el objetivo de resolver un caso en nuestra administración quisiera saber qué explicación técnica tiene el siguiente hecho:</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Un contribuyente trata de trasmitir una declaración de retención en la fuente correspondiente al período 4 de 2003 vía internet, se hace la declaración y se imprime con los datos definitivos con las firmas del Revisor Fiscal y Representante Legal pero no generó el número de Control automático, ni número de la declaración, ni la fecha, ni el control manual, pero el contribuyente efectuó los recibos de pago por valor de $119.632.000 indicando el número que aparecía en pantalla que después de verificado corresponde a la declaración del mes anterior esto es período 3 de 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Mediante correo electrónico del 21 de septiembre de 2004</w:t>
      </w:r>
      <w:bookmarkStart w:id="23" w:name="_ftnref23"/>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"_ftn23"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[23]</w:t>
      </w:r>
      <w:r w:rsidRPr="003370F7">
        <w:rPr>
          <w:rFonts w:eastAsia="Times New Roman" w:cs="Times New Roman"/>
          <w:szCs w:val="24"/>
          <w:lang w:eastAsia="es-CO"/>
        </w:rPr>
        <w:fldChar w:fldCharType="end"/>
      </w:r>
      <w:bookmarkEnd w:id="23"/>
      <w:r w:rsidRPr="003370F7">
        <w:rPr>
          <w:rFonts w:eastAsia="Times New Roman" w:cs="Times New Roman"/>
          <w:szCs w:val="24"/>
          <w:lang w:eastAsia="es-CO"/>
        </w:rPr>
        <w:t>, el funcionario Manuel Alberto Perea le informa a la funcionaria Hilda Cristina Mejía lo siguiente:</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Respetada Dra. Hilda Cristina:</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En relación con el caso expuesto y respecto tanto de la normativa que rige la matera como técnicamente, precisamos lo siguiente:</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b/>
          <w:bCs/>
          <w:szCs w:val="24"/>
          <w:lang w:eastAsia="es-CO"/>
        </w:rPr>
        <w:t>1. Legalmente</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xml:space="preserve">Estamos frente un caso que jurídicamente un documento, no tiene valor probatorio por carecer de los números de control manual y automático a que hacen referencia los artículos 1 y 11 del Decreto 408 de 2001, donde se especifica cómo se da por presentada una </w:t>
      </w:r>
      <w:r w:rsidRPr="003370F7">
        <w:rPr>
          <w:rFonts w:eastAsia="Times New Roman" w:cs="Times New Roman"/>
          <w:szCs w:val="24"/>
          <w:lang w:eastAsia="es-CO"/>
        </w:rPr>
        <w:lastRenderedPageBreak/>
        <w:t>declaración electrónica. Además también carece del número de declaración, fecha y hora de presentación que también son características que identifican cuando un documento (declaración y/o recibo de pago) se ha presentado ante la DIAN a través de software del Sistema Declaración y pago electrónico.</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b/>
          <w:bCs/>
          <w:szCs w:val="24"/>
          <w:lang w:eastAsia="es-CO"/>
        </w:rPr>
        <w:t>2. Técnicamente</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b/>
          <w:bCs/>
          <w:szCs w:val="24"/>
          <w:lang w:eastAsia="es-CO"/>
        </w:rPr>
        <w:t>2.1. Para la Declaración</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El contribuyente omitió u olvidó la presentación de la declaración, después de haber sido revisada con su clave por el Revisor Fiscal y/o Contador. Esto teniendo presente que cuando la declaración ha sido revisada, automáticamente aparecen tanto el nombre como la identificación del Representante Legal y del Revisor y/o Contador, como lo indica en el correo al decir que al imprimir sale con los datos definitivos.</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b/>
          <w:bCs/>
          <w:szCs w:val="24"/>
          <w:lang w:eastAsia="es-CO"/>
        </w:rPr>
        <w:t>2.2. Generación del Recibo de pago.</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Al respecto y tal como lo expone en el correo. El Contribuyente utilizó la opción de “Recibo Especial” para poder diligenciar y presentar el recibo. Esta opción de recibo especial entre otras alternativas, se utiliza cuando se diligencian recibos para declaraciones que no han sido presentadas electrónicamente, debiendo el contribuyente diligenciar además del valor del impuesto el número de la declaración a la cual se imputará el respectivo recibo y en nuestro caso como no existió declaración presentada utilizaron el número de la declaración del período anterior.</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De haberse diligenciado el recibo por la opción “Recibo”, automáticamente trae el número de la declaración.”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 Mediante correo electrónico del 1º de octubre de 2004, la funcionaria </w:t>
      </w:r>
      <w:proofErr w:type="spellStart"/>
      <w:r w:rsidRPr="003370F7">
        <w:rPr>
          <w:rFonts w:eastAsia="Times New Roman" w:cs="Times New Roman"/>
          <w:szCs w:val="24"/>
          <w:lang w:eastAsia="es-CO"/>
        </w:rPr>
        <w:t>Emilse</w:t>
      </w:r>
      <w:proofErr w:type="spellEnd"/>
      <w:r w:rsidRPr="003370F7">
        <w:rPr>
          <w:rFonts w:eastAsia="Times New Roman" w:cs="Times New Roman"/>
          <w:szCs w:val="24"/>
          <w:lang w:eastAsia="es-CO"/>
        </w:rPr>
        <w:t xml:space="preserve"> Inés Henao solicitó a la funcionaria Liliana Arbeláez que le informara sobre el record de fallas técnicas y llamadas al </w:t>
      </w:r>
      <w:proofErr w:type="spellStart"/>
      <w:r w:rsidRPr="003370F7">
        <w:rPr>
          <w:rFonts w:eastAsia="Times New Roman" w:cs="Times New Roman"/>
          <w:i/>
          <w:iCs/>
          <w:szCs w:val="24"/>
          <w:lang w:eastAsia="es-CO"/>
        </w:rPr>
        <w:t>call</w:t>
      </w:r>
      <w:proofErr w:type="spellEnd"/>
      <w:r w:rsidRPr="003370F7">
        <w:rPr>
          <w:rFonts w:eastAsia="Times New Roman" w:cs="Times New Roman"/>
          <w:i/>
          <w:iCs/>
          <w:szCs w:val="24"/>
          <w:lang w:eastAsia="es-CO"/>
        </w:rPr>
        <w:t xml:space="preserve"> center </w:t>
      </w:r>
      <w:r w:rsidRPr="003370F7">
        <w:rPr>
          <w:rFonts w:eastAsia="Times New Roman" w:cs="Times New Roman"/>
          <w:szCs w:val="24"/>
          <w:lang w:eastAsia="es-CO"/>
        </w:rPr>
        <w:t>provenientes de la parte actora, relacionadas con la declaración de retención en la fuente del mes de abril de 2003.</w:t>
      </w:r>
      <w:bookmarkStart w:id="24" w:name="_ftnref24"/>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"_ftn24"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[24]</w:t>
      </w:r>
      <w:r w:rsidRPr="003370F7">
        <w:rPr>
          <w:rFonts w:eastAsia="Times New Roman" w:cs="Times New Roman"/>
          <w:szCs w:val="24"/>
          <w:lang w:eastAsia="es-CO"/>
        </w:rPr>
        <w:fldChar w:fldCharType="end"/>
      </w:r>
      <w:bookmarkEnd w:id="24"/>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Mediante correo electrónico del 6 de octubre de 2004, el funcionario Pedro Galindo remitió el record solicitado, que obra en el folio 137 del expediente, en el que consta que hay dos llamadas pero del 11 y 13 de noviembre de 2003.</w:t>
      </w:r>
      <w:bookmarkStart w:id="25" w:name="_ftnref25"/>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"_ftn25"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[25]</w:t>
      </w:r>
      <w:r w:rsidRPr="003370F7">
        <w:rPr>
          <w:rFonts w:eastAsia="Times New Roman" w:cs="Times New Roman"/>
          <w:szCs w:val="24"/>
          <w:lang w:eastAsia="es-CO"/>
        </w:rPr>
        <w:fldChar w:fldCharType="end"/>
      </w:r>
      <w:bookmarkEnd w:id="25"/>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El 11 de febrero de 2005, la DIAN efectuó visita de verificación y cruce</w:t>
      </w:r>
      <w:bookmarkStart w:id="26" w:name="_ftnref26"/>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"_ftn26"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[26]</w:t>
      </w:r>
      <w:r w:rsidRPr="003370F7">
        <w:rPr>
          <w:rFonts w:eastAsia="Times New Roman" w:cs="Times New Roman"/>
          <w:szCs w:val="24"/>
          <w:lang w:eastAsia="es-CO"/>
        </w:rPr>
        <w:fldChar w:fldCharType="end"/>
      </w:r>
      <w:bookmarkEnd w:id="26"/>
      <w:r w:rsidRPr="003370F7">
        <w:rPr>
          <w:rFonts w:eastAsia="Times New Roman" w:cs="Times New Roman"/>
          <w:szCs w:val="24"/>
          <w:lang w:eastAsia="es-CO"/>
        </w:rPr>
        <w:t>, y determinó, con fundamento en el libro mayor y balances de la demandante, que los costos y gastos del mes de abril de 2003 de la demandante ascendían a la suma de $1.335.736.181,37. Con fundamento en el numeral 3 del </w:t>
      </w:r>
      <w:hyperlink r:id="rId34" w:tooltip="Estatuto Tributario CETA" w:history="1">
        <w:r w:rsidRPr="003370F7">
          <w:rPr>
            <w:rFonts w:eastAsia="Times New Roman" w:cs="Times New Roman"/>
            <w:szCs w:val="24"/>
            <w:lang w:eastAsia="es-CO"/>
          </w:rPr>
          <w:t>artículo 643</w:t>
        </w:r>
      </w:hyperlink>
      <w:r w:rsidRPr="003370F7">
        <w:rPr>
          <w:rFonts w:eastAsia="Times New Roman" w:cs="Times New Roman"/>
          <w:szCs w:val="24"/>
          <w:lang w:eastAsia="es-CO"/>
        </w:rPr>
        <w:t> ET, liquidó la sanción por no declarar así: Costos y gastos contabilizados en el período (mes de abril de 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$1,335.736.181</w:t>
      </w:r>
      <w:proofErr w:type="gramStart"/>
      <w:r w:rsidRPr="003370F7">
        <w:rPr>
          <w:rFonts w:eastAsia="Times New Roman" w:cs="Times New Roman"/>
          <w:szCs w:val="24"/>
          <w:lang w:eastAsia="es-CO"/>
        </w:rPr>
        <w:t>,37</w:t>
      </w:r>
      <w:proofErr w:type="gramEnd"/>
      <w:r w:rsidRPr="003370F7">
        <w:rPr>
          <w:rFonts w:eastAsia="Times New Roman" w:cs="Times New Roman"/>
          <w:szCs w:val="24"/>
          <w:lang w:eastAsia="es-CO"/>
        </w:rPr>
        <w:t>*10%= $133.573.618,13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Retenciones que figuran en la última declaración de retenciones presentadas por la sociedad: La última declaración presentada por este impuesto corresponde al mes de marzo (período 3) </w:t>
      </w:r>
      <w:r w:rsidRPr="003370F7">
        <w:rPr>
          <w:rFonts w:eastAsia="Times New Roman" w:cs="Times New Roman"/>
          <w:szCs w:val="24"/>
          <w:lang w:eastAsia="es-CO"/>
        </w:rPr>
        <w:lastRenderedPageBreak/>
        <w:t>de 2003, presentada mediante el sistema de declaración y pago electrónico el 9 de abril del mismo año bajo el No. 90000011643973, en la cual el total de retenciones asciende a $114.970.000:</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$114.970.000*100%= $114.970.000.</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Dado que la cifra mayor es la de $133.573.618.13, se determinó que este debería ser el valor de la sanción por no declarar.</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 El 16 de marzo de 2005, la DIAN, mediante emplazamiento para declarar No. 110632005000032 del 16 de marzo de 2005, invitó a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S.A. a presentar la declaración de retención en la fuente por el cuarto período de 2003 y le propuso una sanción de $133.574.000, correspondiente al 10% de los costos y gastos determinados.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El fundamento del emplazamiento se fundamentó en el reporte que remitió el funcionario Manuel Alberto Perea mediante correo electrónico del 21 de septiembre de 2004</w:t>
      </w:r>
      <w:bookmarkStart w:id="27" w:name="_ftnref27"/>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"_ftn27"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[27]</w:t>
      </w:r>
      <w:r w:rsidRPr="003370F7">
        <w:rPr>
          <w:rFonts w:eastAsia="Times New Roman" w:cs="Times New Roman"/>
          <w:szCs w:val="24"/>
          <w:lang w:eastAsia="es-CO"/>
        </w:rPr>
        <w:fldChar w:fldCharType="end"/>
      </w:r>
      <w:bookmarkEnd w:id="27"/>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El 21 de abril de 2005, la demandante respondió el emplazamiento, y precisó que:</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 sí presentó y pagó la declaración de retención en la fuente por el período cuatro (4) de 2003, como quiera que a pesar de las dificultades que se presentaron con el sistema, lo cierto es </w:t>
      </w:r>
      <w:r w:rsidRPr="003370F7">
        <w:rPr>
          <w:rFonts w:eastAsia="Times New Roman" w:cs="Times New Roman"/>
          <w:i/>
          <w:iCs/>
          <w:szCs w:val="24"/>
          <w:u w:val="single"/>
          <w:lang w:eastAsia="es-CO"/>
        </w:rPr>
        <w:t>que éste permitió la impresión de tal declaración con sus datos definitivos, aunque no suministró en dicha impresión el número de control automático ni la fecha ni el control manual</w:t>
      </w:r>
      <w:r w:rsidRPr="003370F7">
        <w:rPr>
          <w:rFonts w:eastAsia="Times New Roman" w:cs="Times New Roman"/>
          <w:i/>
          <w:iCs/>
          <w:szCs w:val="24"/>
          <w:lang w:eastAsia="es-CO"/>
        </w:rPr>
        <w:t>. Todo esto se hizo con el conocimiento y la colaboración del funcionario, Pedro Galindo y el Jefe de sistemas de la empresa. Así mismo, a sugerencia del Sr. Galindo y en vista de que el sistema no suministró los recibos oficiales, se obtuvo recibo especial y se utilizó el número que aparecía en la pantalla como en efecto se pagó el valor declarado …”</w:t>
      </w:r>
      <w:bookmarkStart w:id="28" w:name="_ftnref28"/>
      <w:r w:rsidRPr="003370F7">
        <w:rPr>
          <w:rFonts w:eastAsia="Times New Roman" w:cs="Times New Roman"/>
          <w:i/>
          <w:iCs/>
          <w:szCs w:val="24"/>
          <w:lang w:eastAsia="es-CO"/>
        </w:rPr>
        <w:fldChar w:fldCharType="begin"/>
      </w:r>
      <w:r w:rsidRPr="003370F7">
        <w:rPr>
          <w:rFonts w:eastAsia="Times New Roman" w:cs="Times New Roman"/>
          <w:i/>
          <w:iCs/>
          <w:szCs w:val="24"/>
          <w:lang w:eastAsia="es-CO"/>
        </w:rPr>
        <w:instrText xml:space="preserve"> HYPERLINK "https://www.ceta.org.co/html/vista_de_un_documento.asp?DocumentoID=32976" \l "_ftn28" \o "" </w:instrText>
      </w:r>
      <w:r w:rsidRPr="003370F7">
        <w:rPr>
          <w:rFonts w:eastAsia="Times New Roman" w:cs="Times New Roman"/>
          <w:i/>
          <w:iCs/>
          <w:szCs w:val="24"/>
          <w:lang w:eastAsia="es-CO"/>
        </w:rPr>
        <w:fldChar w:fldCharType="separate"/>
      </w:r>
      <w:r w:rsidRPr="003370F7">
        <w:rPr>
          <w:rFonts w:eastAsia="Times New Roman" w:cs="Times New Roman"/>
          <w:b/>
          <w:bCs/>
          <w:i/>
          <w:iCs/>
          <w:szCs w:val="24"/>
          <w:lang w:eastAsia="es-CO"/>
        </w:rPr>
        <w:t>[28]</w:t>
      </w:r>
      <w:r w:rsidRPr="003370F7">
        <w:rPr>
          <w:rFonts w:eastAsia="Times New Roman" w:cs="Times New Roman"/>
          <w:i/>
          <w:iCs/>
          <w:szCs w:val="24"/>
          <w:lang w:eastAsia="es-CO"/>
        </w:rPr>
        <w:fldChar w:fldCharType="end"/>
      </w:r>
      <w:bookmarkEnd w:id="28"/>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(Se subraya).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El 2 de mayo de 2005, mediante correo electrónico</w:t>
      </w:r>
      <w:bookmarkStart w:id="29" w:name="_ftnref29"/>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"_ftn29"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[29]</w:t>
      </w:r>
      <w:r w:rsidRPr="003370F7">
        <w:rPr>
          <w:rFonts w:eastAsia="Times New Roman" w:cs="Times New Roman"/>
          <w:szCs w:val="24"/>
          <w:lang w:eastAsia="es-CO"/>
        </w:rPr>
        <w:fldChar w:fldCharType="end"/>
      </w:r>
      <w:bookmarkEnd w:id="29"/>
      <w:r w:rsidRPr="003370F7">
        <w:rPr>
          <w:rFonts w:eastAsia="Times New Roman" w:cs="Times New Roman"/>
          <w:szCs w:val="24"/>
          <w:lang w:eastAsia="es-CO"/>
        </w:rPr>
        <w:t>, el funcionario Javier Antonio García Llamas pidió al funcionario Pedro Alejandro Galindo Restrepo que informara sobre la consulta realizada por el contribuyente CREACIONES DE MODA S.A. durante el mes de mayo de 2003, referente a las dificultades presentadas que supuestamente incidieron en la no presentación de la declaración de retención en la fuente del período 4 de 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El 6 de mayo de 2005, mediante correo electrónico</w:t>
      </w:r>
      <w:bookmarkStart w:id="30" w:name="_ftnref30"/>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"_ftn30"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[30]</w:t>
      </w:r>
      <w:r w:rsidRPr="003370F7">
        <w:rPr>
          <w:rFonts w:eastAsia="Times New Roman" w:cs="Times New Roman"/>
          <w:szCs w:val="24"/>
          <w:lang w:eastAsia="es-CO"/>
        </w:rPr>
        <w:fldChar w:fldCharType="end"/>
      </w:r>
      <w:bookmarkEnd w:id="30"/>
      <w:r w:rsidRPr="003370F7">
        <w:rPr>
          <w:rFonts w:eastAsia="Times New Roman" w:cs="Times New Roman"/>
          <w:szCs w:val="24"/>
          <w:lang w:eastAsia="es-CO"/>
        </w:rPr>
        <w:t>, el funcionario Pedro Alejandro Galindo Restrepo respondió lo siguiente: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Efectivamente la empresa CREAMODA S.A. efectuó consulta en el vencimiento de la declaración de Retención 4-2003, lo cierto es que la consulta versó sobre la generación de los recibos y nunca sobre la presentación de la declaración, ya que al efectuar la consulta argumentaron que ya habían transmitido exitosamente la declaración pero que no habían logrado transmitir los recibos. Es de anotar, que existe la posibilidad que al momento de hallarse transmitiendo el documento electrónico el sistema arroje los números de validación y por algún problema de comunicación no se tenga un registro exitoso en el servidor de la </w:t>
      </w:r>
      <w:r w:rsidRPr="003370F7">
        <w:rPr>
          <w:rFonts w:eastAsia="Times New Roman" w:cs="Times New Roman"/>
          <w:szCs w:val="24"/>
          <w:lang w:eastAsia="es-CO"/>
        </w:rPr>
        <w:lastRenderedPageBreak/>
        <w:t>DIAN, pero el contribuyente, guiándose por la asignación inicial de los números de formulario, tome como efectivamente presentada su declaración; sin embargo puede apreciarse que el contribuyente tuvo la intención de presentar su declaración y además de pagar como efectivamente lo hizo.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 Mediante la Resolución N° 110642005000080 del 17 de mayo de 2005, la DIAN le impuso la sanción a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por no declarar, en la que se destacan los siguientes argumentos:</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szCs w:val="24"/>
          <w:lang w:eastAsia="es-CO"/>
        </w:rPr>
        <w:t>“</w:t>
      </w:r>
      <w:r w:rsidRPr="003370F7">
        <w:rPr>
          <w:rFonts w:eastAsia="Times New Roman" w:cs="Times New Roman"/>
          <w:i/>
          <w:iCs/>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3. Con fecha del 24 de junio de 2004 el señor Pedro Galindo funcionario de la División de Recaudación de la Administración de Impuestos Nacionales de Medellín, le solicitó vía correo electrónico a la funcionaria del Nivel Central Isabel Buitrago Arias con copia al doctor Manuel Alberto Perea, verificar la existencia de la declaración No. 900000011643973 presentada el 12 de mayo de 2003 del contribuyente con NIT 890.934.898 por el impuesto de Retención, período 4 de 2003.</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4. Que con fecha del 24 de junio de 2004 el doctor Manuel Alberto Perea le responde al funcionario Pedro Galindo referente a la consulta realizada que la declaración relacionada corresponde a una declaración en la fuente del mes 3 presentada el 9 de abril de 2003. Por el mes cuatro (4) no existe declaración de retención presentada para el NIT 890.934.898 (Anexa prueba)</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5. Que por parte del suscrito funcionario de la División de Liquidación Tributaria verificó que según relación del sistema en folio 33 del expediente la declaración No. 900000011643973-7 presentada el 9 de abril de 2003 del contribuyente con NIT 890.934.898 corresponde al impuesto de Retención del período 3 de 2003.</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11. Que conforme a lo anterior, la División de Fiscalización Tributaria de esta Administración y con el fin de garantizar el derecho de defensa y debido proceso le profirió el Emplazamiento para declarar No. 110632004000032 notificado por correo certificado el 18 de marzo de 2005.</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12. Que mediante dicho acto administrativo (sic) se emplazó al contribuyente para que dentro del término de un (1) mes, contado a partir de la notificación de dicho acto, cumpla con la obligación de presentar la declaración de renta y complementarios por el período gravable 2003 </w:t>
      </w:r>
      <w:r w:rsidRPr="003370F7">
        <w:rPr>
          <w:rFonts w:eastAsia="Times New Roman" w:cs="Times New Roman"/>
          <w:szCs w:val="24"/>
          <w:lang w:eastAsia="es-CO"/>
        </w:rPr>
        <w:t>(sic)</w:t>
      </w:r>
      <w:r w:rsidRPr="003370F7">
        <w:rPr>
          <w:rFonts w:eastAsia="Times New Roman" w:cs="Times New Roman"/>
          <w:i/>
          <w:iCs/>
          <w:szCs w:val="24"/>
          <w:lang w:eastAsia="es-CO"/>
        </w:rPr>
        <w:t>, advirtiéndole que vencido el término que otorga el emplazamiento sin que se hubiere presentado la respectiva declaración, la Administración de Impuestos de Medellín procederá a aplicar la sanción por no declarar, estipulada en el numeral 3º del </w:t>
      </w:r>
      <w:hyperlink r:id="rId35" w:tooltip="Estatuto Tributario CETA" w:history="1">
        <w:r w:rsidRPr="003370F7">
          <w:rPr>
            <w:rFonts w:eastAsia="Times New Roman" w:cs="Times New Roman"/>
            <w:i/>
            <w:iCs/>
            <w:szCs w:val="24"/>
            <w:lang w:eastAsia="es-CO"/>
          </w:rPr>
          <w:t>artículo 643</w:t>
        </w:r>
      </w:hyperlink>
      <w:r w:rsidRPr="003370F7">
        <w:rPr>
          <w:rFonts w:eastAsia="Times New Roman" w:cs="Times New Roman"/>
          <w:i/>
          <w:iCs/>
          <w:szCs w:val="24"/>
          <w:lang w:eastAsia="es-CO"/>
        </w:rPr>
        <w:t>del Estatuto Tributario,</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15. El 2 de mayo de 2005 el suscrito funcionario de la División de Liquidación Tributaria, solicitó al funcionario Pedro Galindo de la División de Recaudación de esta administración, informar sobre consulta realizada por el contribuyente CREAMODA S.A. NIT 890.394.898-4 durante el mes de mayo de 2003, referente a las dificultades presentadas que supuestamente incidieron en la no presentación de la declaración de Retención en la fuente del período 4 del año 2003.</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 xml:space="preserve">16. Que el 6 de mayo de 2005 el señor Pedro Galindo informó que: “Efectivamente la empresa CREAMODA S.A. efectuó consulta en el vencimiento de la declaración de </w:t>
      </w:r>
      <w:r w:rsidRPr="003370F7">
        <w:rPr>
          <w:rFonts w:eastAsia="Times New Roman" w:cs="Times New Roman"/>
          <w:i/>
          <w:iCs/>
          <w:szCs w:val="24"/>
          <w:lang w:eastAsia="es-CO"/>
        </w:rPr>
        <w:lastRenderedPageBreak/>
        <w:t>retención en la fuente 4-2003 y que versó sobre la generación de los recibos y nunca sobre la presentación de la declaración, ya que al efectuar la consulta argumentaron que ya habían transmitido exitosamente la declaración pero que no habían logrado transmitir los recibos.”. Adicionalmente expone: ‘</w:t>
      </w:r>
      <w:r w:rsidRPr="003370F7">
        <w:rPr>
          <w:rFonts w:eastAsia="Times New Roman" w:cs="Times New Roman"/>
          <w:i/>
          <w:iCs/>
          <w:szCs w:val="24"/>
          <w:u w:val="single"/>
          <w:lang w:eastAsia="es-CO"/>
        </w:rPr>
        <w:t>Es de anotar, que existe la posibilidad que</w:t>
      </w:r>
      <w:r w:rsidRPr="003370F7">
        <w:rPr>
          <w:rFonts w:eastAsia="Times New Roman" w:cs="Times New Roman"/>
          <w:i/>
          <w:iCs/>
          <w:szCs w:val="24"/>
          <w:lang w:eastAsia="es-CO"/>
        </w:rPr>
        <w:t> </w:t>
      </w:r>
      <w:r w:rsidRPr="003370F7">
        <w:rPr>
          <w:rFonts w:eastAsia="Times New Roman" w:cs="Times New Roman"/>
          <w:i/>
          <w:iCs/>
          <w:szCs w:val="24"/>
          <w:u w:val="single"/>
          <w:lang w:eastAsia="es-CO"/>
        </w:rPr>
        <w:t>al momento de hallarse transmitiendo el documento electrónico el sistema arroje los números de validación y por algún problema de comunicación no se tenga un registro exitoso en el servidor de la DIAN, operó el contribuyente guiándose por la declaración inicial de los números de (sic) formulario, tome como efectivamente presentada su declaración; sin embargo puede apreciarse que el contribuyente tuvo la intención de presentar su declaración y además de pagar como efectivamente lo hizo</w:t>
      </w:r>
      <w:r w:rsidRPr="003370F7">
        <w:rPr>
          <w:rFonts w:eastAsia="Times New Roman" w:cs="Times New Roman"/>
          <w:i/>
          <w:iCs/>
          <w:szCs w:val="24"/>
          <w:lang w:eastAsia="es-CO"/>
        </w:rPr>
        <w:t>’.</w:t>
      </w:r>
    </w:p>
    <w:p w:rsidR="003370F7" w:rsidRPr="003370F7" w:rsidRDefault="003370F7" w:rsidP="003370F7">
      <w:pPr>
        <w:spacing w:line="240" w:lineRule="auto"/>
        <w:ind w:left="180"/>
        <w:rPr>
          <w:rFonts w:eastAsia="Times New Roman" w:cs="Times New Roman"/>
          <w:szCs w:val="24"/>
          <w:lang w:eastAsia="es-CO"/>
        </w:rPr>
      </w:pPr>
      <w:r w:rsidRPr="003370F7">
        <w:rPr>
          <w:rFonts w:eastAsia="Times New Roman" w:cs="Times New Roman"/>
          <w:i/>
          <w:iCs/>
          <w:szCs w:val="24"/>
          <w:lang w:eastAsia="es-CO"/>
        </w:rPr>
        <w:t xml:space="preserve">17. Que analizados los antecedentes que dieron origen al Emplazamiento para declarar y las evidencias relacionadas en los considerandos anteriores, si bien pudo haberse presentado problemas en la transmisión del documento electrónico que impidieron obtener un registro exitoso en el servidor de la DIAN, no fueron reportadas las fallas técnicas al teléfono abierto para tales efectos del </w:t>
      </w:r>
      <w:proofErr w:type="spellStart"/>
      <w:r w:rsidRPr="003370F7">
        <w:rPr>
          <w:rFonts w:eastAsia="Times New Roman" w:cs="Times New Roman"/>
          <w:i/>
          <w:iCs/>
          <w:szCs w:val="24"/>
          <w:lang w:eastAsia="es-CO"/>
        </w:rPr>
        <w:t>Call</w:t>
      </w:r>
      <w:proofErr w:type="spellEnd"/>
      <w:r w:rsidRPr="003370F7">
        <w:rPr>
          <w:rFonts w:eastAsia="Times New Roman" w:cs="Times New Roman"/>
          <w:i/>
          <w:iCs/>
          <w:szCs w:val="24"/>
          <w:lang w:eastAsia="es-CO"/>
        </w:rPr>
        <w:t xml:space="preserve"> Center del NIVEL CENTRAL de la DIAN, de acuerdo a consulta de récord de fallas técnicas y llamadas al </w:t>
      </w:r>
      <w:proofErr w:type="spellStart"/>
      <w:r w:rsidRPr="003370F7">
        <w:rPr>
          <w:rFonts w:eastAsia="Times New Roman" w:cs="Times New Roman"/>
          <w:i/>
          <w:iCs/>
          <w:szCs w:val="24"/>
          <w:lang w:eastAsia="es-CO"/>
        </w:rPr>
        <w:t>Call</w:t>
      </w:r>
      <w:proofErr w:type="spellEnd"/>
      <w:r w:rsidRPr="003370F7">
        <w:rPr>
          <w:rFonts w:eastAsia="Times New Roman" w:cs="Times New Roman"/>
          <w:i/>
          <w:iCs/>
          <w:szCs w:val="24"/>
          <w:lang w:eastAsia="es-CO"/>
        </w:rPr>
        <w:t xml:space="preserve"> Center de la sociedad C.I. CREAMODA S.A. con NIT 890.934.898, sobre la declaración de retención en la fuente del mes de abril de 2003 de acuerdo a lo mencionado en el considerandos 8 y 9, ni fueron expuesto los supuestos problemas al funcionario encargado, tal como él mismo lo expone, en respuesta del 6 de mayo de 2005, así: ‘Efectivamente la empresa CREAMODA S.A. efectuó consulta en el vencimiento de la declaración de retención en la fuente del 4-2003 y que versó sobre la generación de recibos </w:t>
      </w:r>
      <w:r w:rsidRPr="003370F7">
        <w:rPr>
          <w:rFonts w:eastAsia="Times New Roman" w:cs="Times New Roman"/>
          <w:i/>
          <w:iCs/>
          <w:szCs w:val="24"/>
          <w:u w:val="single"/>
          <w:lang w:eastAsia="es-CO"/>
        </w:rPr>
        <w:t>y nunca sobre la presentación de la declaración, ya que al efectuar la consulta argumentaron que ya habían transmitido exitosamente la declaración pero que no habían logrado transmitir los recibos’</w:t>
      </w:r>
      <w:r w:rsidRPr="003370F7">
        <w:rPr>
          <w:rFonts w:eastAsia="Times New Roman" w:cs="Times New Roman"/>
          <w:i/>
          <w:iCs/>
          <w:szCs w:val="24"/>
          <w:lang w:eastAsia="es-CO"/>
        </w:rPr>
        <w:t> (subrayas del texto original), limitándose el contribuyente a consultar sobre la generación de los recibos de pago.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 El 18 de junio de 2005, la demandante presentó el recurso de reconsideración, en el que adujo que en el punto 16 de la resolución sancionatoria pudo advertirse con claridad que el señor Galindo sí asesoró y asistió a los empleados de CI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S.A. en lo relacionado con la presentación de la declaración tributaria y no sólo en cuanto a la obtención de los recibos de pago. Agregó, además, que debe primar la verdad real sobre la verdad formal, esto es, que la declaración tributaria se presentó y pagó en la misma fecha –la fecha del vencimiento- y que la contribuyente actuó conforme con la normativa vigente, inducida por la forma en que operó el sistema a cargo de la administración tributaria y por la asesoría brindada por los funcionarios de la DIAN.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 Mediante Resolución No. 110662006000022 del 9 de junio de 2006, la DIAN confirmó la sanción impuesta a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S.A. en la Resolución 110642005000080.</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3.3.2. Solución del caso concreto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La Sala considera que debe levantarse la sanción por no presentar la declaración de renta del año 2003, período cuatro.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Si bien es cierto que es un hecho no controvertido que la declaración que presentó la demandante no cumple las condiciones requeridas por la ley para tomarla como la prueba de la debida transmisión electrónica del documento a la DIAN, las pruebas que obran en el expediente sí dan cuenta de las dificultades que tuvo la demandante para presentar la declaración, que se presentaron fallas en la transmisión, sin que obre prueba en el proceso que dé cuenta de que tales fallas son imputables a la contribuyente. De hecho, la propia resolución sanción por no declarar deja abierta la posibilidad de la falla en el sistema, sólo que insiste en imponer la sanción en el hecho de que la demandante no se comunicó con el área encargada de recibir los reportes de la falla del sistema. Esa insistencia es desproporcionada e irrazonable si se tiene en cuenta de que existe prueba de que la parte actora acudió a la ayuda del funcionario Pedro Galindo, que, en su testimonio, también deja la constancia de que sí se pudo haber presentado una falla en el sistema. Además, resalta el hecho de que la demandante tuvo la intención clara de cumplir la obligación sustancial, como era pagar las retenciones en la fuente causadas por el cuarto período de 2003. Hecho este que está más que comprobado.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Si bien es cierto que el deber de pagar lo retenido es distinto del presentar las declaraciones de retención en la fuente, es un hecho probado que la contribuyente mostró la diligencia necesaria para cumplir con el deber de presentar la declaración electrónica en los plazos establecidos por la Administración y para pagar los valores retenidos en la fuente.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Como se precisó inicialmente, para imponer sanciones en materia tributaria deben valorarse las circunstancias de hecho y de derecho que rodearon la omisión del contribuyente.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Aunque según la Corte Constitucional (Sentencia C-160 de 1998), en principio es dable inferir que actúa de manera negligente quien omite el deber de declarar, se deben analizar los hechos del caso a efectos de establecer si dicha omisión ocurrió porque la operación se hizo deliberadamente</w:t>
      </w:r>
      <w:bookmarkStart w:id="31" w:name="_ftnref31"/>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"_ftn31"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[31]</w:t>
      </w:r>
      <w:r w:rsidRPr="003370F7">
        <w:rPr>
          <w:rFonts w:eastAsia="Times New Roman" w:cs="Times New Roman"/>
          <w:szCs w:val="24"/>
          <w:lang w:eastAsia="es-CO"/>
        </w:rPr>
        <w:fldChar w:fldCharType="end"/>
      </w:r>
      <w:bookmarkEnd w:id="31"/>
      <w:r w:rsidRPr="003370F7">
        <w:rPr>
          <w:rFonts w:eastAsia="Times New Roman" w:cs="Times New Roman"/>
          <w:szCs w:val="24"/>
          <w:lang w:eastAsia="es-CO"/>
        </w:rPr>
        <w:t> o por culpa</w:t>
      </w:r>
      <w:bookmarkStart w:id="32" w:name="_ftnref32"/>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"_ftn32"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[32]</w:t>
      </w:r>
      <w:r w:rsidRPr="003370F7">
        <w:rPr>
          <w:rFonts w:eastAsia="Times New Roman" w:cs="Times New Roman"/>
          <w:szCs w:val="24"/>
          <w:lang w:eastAsia="es-CO"/>
        </w:rPr>
        <w:fldChar w:fldCharType="end"/>
      </w:r>
      <w:bookmarkEnd w:id="32"/>
      <w:r w:rsidRPr="003370F7">
        <w:rPr>
          <w:rFonts w:eastAsia="Times New Roman" w:cs="Times New Roman"/>
          <w:szCs w:val="24"/>
          <w:lang w:eastAsia="es-CO"/>
        </w:rPr>
        <w:t>.</w:t>
      </w:r>
      <w:bookmarkStart w:id="33" w:name="_ftnref33"/>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"_ftn33"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[33]</w:t>
      </w:r>
      <w:r w:rsidRPr="003370F7">
        <w:rPr>
          <w:rFonts w:eastAsia="Times New Roman" w:cs="Times New Roman"/>
          <w:szCs w:val="24"/>
          <w:lang w:eastAsia="es-CO"/>
        </w:rPr>
        <w:fldChar w:fldCharType="end"/>
      </w:r>
      <w:bookmarkEnd w:id="33"/>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El principio de culpabilidad, en estos casos, supone analizar las razones expuestas por la recurrente como justificadoras del incumplimiento de sus obligaciones tributarias.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En el caso concreto existen pruebas que dan cuenta de que la parte actora hizo actos tendientes a cumplir, conforme a la ley, la obligación tributaria, y que acudió a la propia DIAN para que le ayudara a cumplir la obligación que, finalmente fue satisfecha, en lo sustancial, mediante el pago de las retenciones causadas en el cuarto período del año 2003.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Aunque es un hecho cierto que la obligación formal de declarar no se cumplió; para la Sala, no hay pruebas que permitan imputar ese hecho a la parte actora, ni pruebas que le permitan inferir que la demandante actuó de manera temeraria con la intención dolosa o culposa de causar un daño al erario.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Por las razones anteriores, la Sala considera que debe darse prosperidad al recurso de apelación interpuesto por la demandante y declararse que, en esta oportunidad, conforme a </w:t>
      </w:r>
      <w:r w:rsidRPr="003370F7">
        <w:rPr>
          <w:rFonts w:eastAsia="Times New Roman" w:cs="Times New Roman"/>
          <w:szCs w:val="24"/>
          <w:lang w:eastAsia="es-CO"/>
        </w:rPr>
        <w:lastRenderedPageBreak/>
        <w:t>las circunstancias especiales del caso, la contribuyente no está obligada a pagar la sanción impuesta en los actos administrativos demandados.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En mérito de lo expuesto, el Consejo de Estado, Sala de lo Contencioso Administrativo, Sección Cuarta, administrando justicia en nombre de la República y por autoridad de la ley,</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jc w:val="center"/>
        <w:rPr>
          <w:rFonts w:eastAsia="Times New Roman" w:cs="Times New Roman"/>
          <w:szCs w:val="24"/>
          <w:lang w:eastAsia="es-CO"/>
        </w:rPr>
      </w:pPr>
      <w:r w:rsidRPr="003370F7">
        <w:rPr>
          <w:rFonts w:eastAsia="Times New Roman" w:cs="Times New Roman"/>
          <w:b/>
          <w:bCs/>
          <w:szCs w:val="24"/>
          <w:lang w:eastAsia="es-CO"/>
        </w:rPr>
        <w:t xml:space="preserve">F A L </w:t>
      </w:r>
      <w:proofErr w:type="spellStart"/>
      <w:r w:rsidRPr="003370F7">
        <w:rPr>
          <w:rFonts w:eastAsia="Times New Roman" w:cs="Times New Roman"/>
          <w:b/>
          <w:bCs/>
          <w:szCs w:val="24"/>
          <w:lang w:eastAsia="es-CO"/>
        </w:rPr>
        <w:t>L</w:t>
      </w:r>
      <w:proofErr w:type="spellEnd"/>
      <w:r w:rsidRPr="003370F7">
        <w:rPr>
          <w:rFonts w:eastAsia="Times New Roman" w:cs="Times New Roman"/>
          <w:b/>
          <w:bCs/>
          <w:szCs w:val="24"/>
          <w:lang w:eastAsia="es-CO"/>
        </w:rPr>
        <w:t xml:space="preserve"> 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REVÓCASE </w:t>
      </w:r>
      <w:r w:rsidRPr="003370F7">
        <w:rPr>
          <w:rFonts w:eastAsia="Times New Roman" w:cs="Times New Roman"/>
          <w:szCs w:val="24"/>
          <w:lang w:eastAsia="es-CO"/>
        </w:rPr>
        <w:t>la sentencia del 17 de octubre de 2013 proferida por el Tribunal Administrativo de Antioquia, en el contencioso de nulidad y restablecimiento del derecho iniciado por la contribuyente Creaciones de Moda S.A. contra la UAE DIAN. En su lugar:</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PRIMERO. DECLÁRASE LA NULIDAD </w:t>
      </w:r>
      <w:r w:rsidRPr="003370F7">
        <w:rPr>
          <w:rFonts w:eastAsia="Times New Roman" w:cs="Times New Roman"/>
          <w:szCs w:val="24"/>
          <w:lang w:eastAsia="es-CO"/>
        </w:rPr>
        <w:t xml:space="preserve">de la Resolución Sanción 110642005000080 del 17 de mayo de 2005 y de su confirmatoria, la Resolución 110662006000022 del 9 de junio de 2006, mediante las que se impuso sanción por no declarar a CI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S.A., por las razones expuestas.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SEGUNDO. </w:t>
      </w:r>
      <w:r w:rsidRPr="003370F7">
        <w:rPr>
          <w:rFonts w:eastAsia="Times New Roman" w:cs="Times New Roman"/>
          <w:szCs w:val="24"/>
          <w:lang w:eastAsia="es-CO"/>
        </w:rPr>
        <w:t>A título de restablecimiento del derecho, </w:t>
      </w:r>
      <w:r w:rsidRPr="003370F7">
        <w:rPr>
          <w:rFonts w:eastAsia="Times New Roman" w:cs="Times New Roman"/>
          <w:b/>
          <w:bCs/>
          <w:szCs w:val="24"/>
          <w:lang w:eastAsia="es-CO"/>
        </w:rPr>
        <w:t>DECLÁRASE </w:t>
      </w:r>
      <w:r w:rsidRPr="003370F7">
        <w:rPr>
          <w:rFonts w:eastAsia="Times New Roman" w:cs="Times New Roman"/>
          <w:szCs w:val="24"/>
          <w:lang w:eastAsia="es-CO"/>
        </w:rPr>
        <w:t xml:space="preserve">que CI </w:t>
      </w:r>
      <w:proofErr w:type="spellStart"/>
      <w:r w:rsidRPr="003370F7">
        <w:rPr>
          <w:rFonts w:eastAsia="Times New Roman" w:cs="Times New Roman"/>
          <w:szCs w:val="24"/>
          <w:lang w:eastAsia="es-CO"/>
        </w:rPr>
        <w:t>Creamoda</w:t>
      </w:r>
      <w:proofErr w:type="spellEnd"/>
      <w:r w:rsidRPr="003370F7">
        <w:rPr>
          <w:rFonts w:eastAsia="Times New Roman" w:cs="Times New Roman"/>
          <w:szCs w:val="24"/>
          <w:lang w:eastAsia="es-CO"/>
        </w:rPr>
        <w:t xml:space="preserve"> S.A. no está obligada al pago de la sanción impuesta en los actos administrativos acusados.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TERCERO. RECONÓCESE </w:t>
      </w:r>
      <w:r w:rsidRPr="003370F7">
        <w:rPr>
          <w:rFonts w:eastAsia="Times New Roman" w:cs="Times New Roman"/>
          <w:szCs w:val="24"/>
          <w:lang w:eastAsia="es-CO"/>
        </w:rPr>
        <w:t>personería al abogado Pablo Nelson Rodríguez Silva para actuar como apoderado de la DIAN, en los términos del poder conferido a folio 273 del expediente.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Cópiese, notifíquese, comuníquese y devuélvase el expediente al Tribunal de origen. Cúmplase.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STELLA JEANNETTE CARVAJAL BASTO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Presidente de la Sala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MILTON CHAVES GARCÍA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JULIO ROBERTO PIZA RODRÍGUEZ</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 xml:space="preserve">JORGE OCTAVIO RAMÍREZ </w:t>
      </w:r>
      <w:proofErr w:type="spellStart"/>
      <w:r w:rsidRPr="003370F7">
        <w:rPr>
          <w:rFonts w:eastAsia="Times New Roman" w:cs="Times New Roman"/>
          <w:b/>
          <w:bCs/>
          <w:szCs w:val="24"/>
          <w:lang w:eastAsia="es-CO"/>
        </w:rPr>
        <w:t>RAMÍREZ</w:t>
      </w:r>
      <w:proofErr w:type="spellEnd"/>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br w:type="textWrapping" w:clear="all"/>
      </w:r>
    </w:p>
    <w:p w:rsidR="003370F7" w:rsidRPr="003370F7" w:rsidRDefault="00D11848" w:rsidP="003370F7">
      <w:pPr>
        <w:spacing w:line="240" w:lineRule="auto"/>
        <w:rPr>
          <w:rFonts w:eastAsia="Times New Roman" w:cs="Times New Roman"/>
          <w:szCs w:val="24"/>
          <w:lang w:eastAsia="es-CO"/>
        </w:rPr>
      </w:pPr>
      <w:r>
        <w:rPr>
          <w:rFonts w:eastAsia="Times New Roman" w:cs="Times New Roman"/>
          <w:szCs w:val="24"/>
          <w:lang w:eastAsia="es-CO"/>
        </w:rPr>
        <w:pict>
          <v:rect id="_x0000_i1025" style="width:145.85pt;height:.6pt" o:hrpct="330" o:hrstd="t" o:hr="t" fillcolor="#a0a0a0" stroked="f"/>
        </w:pict>
      </w:r>
    </w:p>
    <w:bookmarkStart w:id="34" w:name="_ftn1"/>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w:t>
      </w:r>
      <w:r w:rsidRPr="003370F7">
        <w:rPr>
          <w:rFonts w:eastAsia="Times New Roman" w:cs="Times New Roman"/>
          <w:szCs w:val="24"/>
          <w:lang w:eastAsia="es-CO"/>
        </w:rPr>
        <w:fldChar w:fldCharType="end"/>
      </w:r>
      <w:bookmarkEnd w:id="34"/>
      <w:r w:rsidRPr="003370F7">
        <w:rPr>
          <w:rFonts w:eastAsia="Times New Roman" w:cs="Times New Roman"/>
          <w:szCs w:val="24"/>
          <w:lang w:eastAsia="es-CO"/>
        </w:rPr>
        <w:t xml:space="preserve"> M.P. Consuelo Sarria </w:t>
      </w:r>
      <w:proofErr w:type="spellStart"/>
      <w:r w:rsidRPr="003370F7">
        <w:rPr>
          <w:rFonts w:eastAsia="Times New Roman" w:cs="Times New Roman"/>
          <w:szCs w:val="24"/>
          <w:lang w:eastAsia="es-CO"/>
        </w:rPr>
        <w:t>Olcos</w:t>
      </w:r>
      <w:proofErr w:type="spellEnd"/>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35" w:name="_ftn2"/>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w:t>
      </w:r>
      <w:r w:rsidRPr="003370F7">
        <w:rPr>
          <w:rFonts w:eastAsia="Times New Roman" w:cs="Times New Roman"/>
          <w:szCs w:val="24"/>
          <w:lang w:eastAsia="es-CO"/>
        </w:rPr>
        <w:fldChar w:fldCharType="end"/>
      </w:r>
      <w:bookmarkEnd w:id="35"/>
      <w:r w:rsidRPr="003370F7">
        <w:rPr>
          <w:rFonts w:eastAsia="Times New Roman" w:cs="Times New Roman"/>
          <w:szCs w:val="24"/>
          <w:lang w:eastAsia="es-CO"/>
        </w:rPr>
        <w:t> M.P. Martha Teresa Briceño de Valencia.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 </w:t>
      </w:r>
    </w:p>
    <w:bookmarkStart w:id="36" w:name="_ftn3"/>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"_ftnref3"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w:t>
      </w:r>
      <w:r w:rsidRPr="003370F7">
        <w:rPr>
          <w:rFonts w:eastAsia="Times New Roman" w:cs="Times New Roman"/>
          <w:szCs w:val="24"/>
          <w:lang w:eastAsia="es-CO"/>
        </w:rPr>
        <w:fldChar w:fldCharType="end"/>
      </w:r>
      <w:bookmarkEnd w:id="36"/>
      <w:r w:rsidRPr="003370F7">
        <w:rPr>
          <w:rFonts w:eastAsia="Times New Roman" w:cs="Times New Roman"/>
          <w:szCs w:val="24"/>
          <w:lang w:eastAsia="es-CO"/>
        </w:rPr>
        <w:t xml:space="preserve"> Consejo de Estado, Sección Cuarta. Sentencia del 2 de agosto de 2012. </w:t>
      </w:r>
      <w:proofErr w:type="spellStart"/>
      <w:r w:rsidRPr="003370F7">
        <w:rPr>
          <w:rFonts w:eastAsia="Times New Roman" w:cs="Times New Roman"/>
          <w:szCs w:val="24"/>
          <w:lang w:eastAsia="es-CO"/>
        </w:rPr>
        <w:t>Exp</w:t>
      </w:r>
      <w:proofErr w:type="spellEnd"/>
      <w:r w:rsidRPr="003370F7">
        <w:rPr>
          <w:rFonts w:eastAsia="Times New Roman" w:cs="Times New Roman"/>
          <w:szCs w:val="24"/>
          <w:lang w:eastAsia="es-CO"/>
        </w:rPr>
        <w:t>. No. 18696, M.P. Martha Teresa Briceño de Valencia.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37" w:name="_ftn4"/>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"_ftnref4"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[4]</w:t>
      </w:r>
      <w:r w:rsidRPr="003370F7">
        <w:rPr>
          <w:rFonts w:eastAsia="Times New Roman" w:cs="Times New Roman"/>
          <w:szCs w:val="24"/>
          <w:lang w:eastAsia="es-CO"/>
        </w:rPr>
        <w:fldChar w:fldCharType="end"/>
      </w:r>
      <w:bookmarkEnd w:id="37"/>
      <w:r w:rsidRPr="003370F7">
        <w:rPr>
          <w:rFonts w:eastAsia="Times New Roman" w:cs="Times New Roman"/>
          <w:szCs w:val="24"/>
          <w:lang w:eastAsia="es-CO"/>
        </w:rPr>
        <w:t> </w:t>
      </w:r>
      <w:r w:rsidRPr="003370F7">
        <w:rPr>
          <w:rFonts w:eastAsia="Times New Roman" w:cs="Times New Roman"/>
          <w:b/>
          <w:bCs/>
          <w:szCs w:val="24"/>
          <w:lang w:eastAsia="es-CO"/>
        </w:rPr>
        <w:t>E.T., </w:t>
      </w:r>
      <w:hyperlink r:id="rId36" w:tooltip="Estatuto Tributario CETA" w:history="1">
        <w:r w:rsidRPr="003370F7">
          <w:rPr>
            <w:rFonts w:eastAsia="Times New Roman" w:cs="Times New Roman"/>
            <w:b/>
            <w:bCs/>
            <w:szCs w:val="24"/>
            <w:lang w:eastAsia="es-CO"/>
          </w:rPr>
          <w:t>art. 579</w:t>
        </w:r>
      </w:hyperlink>
      <w:r w:rsidRPr="003370F7">
        <w:rPr>
          <w:rFonts w:eastAsia="Times New Roman" w:cs="Times New Roman"/>
          <w:b/>
          <w:bCs/>
          <w:szCs w:val="24"/>
          <w:lang w:eastAsia="es-CO"/>
        </w:rPr>
        <w:t>, LUGARES Y PLAZOS PARA LA PRESENTACIÓN DE LAS DECLARACIONES TRIBUTARIAS. </w:t>
      </w:r>
      <w:r w:rsidRPr="003370F7">
        <w:rPr>
          <w:rFonts w:eastAsia="Times New Roman" w:cs="Times New Roman"/>
          <w:szCs w:val="24"/>
          <w:lang w:eastAsia="es-CO"/>
        </w:rPr>
        <w:t>La presentación de las declaraciones tributarias deberá efectuarse en los lugares y dentro de los plazos que para tal efecto señale el Gobierno Nacional. Así mismo el gobierno podrá efectuar la recepción de las declaraciones tributarias a través de bancos y demás entidades financieras.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38" w:name="_ftn5"/>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"_ftnref5"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[5]</w:t>
      </w:r>
      <w:r w:rsidRPr="003370F7">
        <w:rPr>
          <w:rFonts w:eastAsia="Times New Roman" w:cs="Times New Roman"/>
          <w:szCs w:val="24"/>
          <w:lang w:eastAsia="es-CO"/>
        </w:rPr>
        <w:fldChar w:fldCharType="end"/>
      </w:r>
      <w:bookmarkEnd w:id="38"/>
      <w:r w:rsidRPr="003370F7">
        <w:rPr>
          <w:rFonts w:eastAsia="Times New Roman" w:cs="Times New Roman"/>
          <w:szCs w:val="24"/>
          <w:lang w:eastAsia="es-CO"/>
        </w:rPr>
        <w:t> Acto modificado por los Decretos 4694 de 2005 y 1849 de 2006.</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39" w:name="_ftn6"/>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"_ftnref6"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[6]</w:t>
      </w:r>
      <w:r w:rsidRPr="003370F7">
        <w:rPr>
          <w:rFonts w:eastAsia="Times New Roman" w:cs="Times New Roman"/>
          <w:szCs w:val="24"/>
          <w:lang w:eastAsia="es-CO"/>
        </w:rPr>
        <w:fldChar w:fldCharType="end"/>
      </w:r>
      <w:bookmarkEnd w:id="39"/>
      <w:r w:rsidRPr="003370F7">
        <w:rPr>
          <w:rFonts w:eastAsia="Times New Roman" w:cs="Times New Roman"/>
          <w:szCs w:val="24"/>
          <w:lang w:eastAsia="es-CO"/>
        </w:rPr>
        <w:t> E.T. </w:t>
      </w:r>
      <w:hyperlink r:id="rId37" w:tooltip="Estatuto Tributario CETA" w:history="1">
        <w:r w:rsidRPr="003370F7">
          <w:rPr>
            <w:rFonts w:eastAsia="Times New Roman" w:cs="Times New Roman"/>
            <w:szCs w:val="24"/>
            <w:lang w:eastAsia="es-CO"/>
          </w:rPr>
          <w:t>art. 375</w:t>
        </w:r>
      </w:hyperlink>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0" w:name="_ftn7"/>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"_ftnref7"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[7]</w:t>
      </w:r>
      <w:r w:rsidRPr="003370F7">
        <w:rPr>
          <w:rFonts w:eastAsia="Times New Roman" w:cs="Times New Roman"/>
          <w:szCs w:val="24"/>
          <w:lang w:eastAsia="es-CO"/>
        </w:rPr>
        <w:fldChar w:fldCharType="end"/>
      </w:r>
      <w:bookmarkEnd w:id="40"/>
      <w:r w:rsidRPr="003370F7">
        <w:rPr>
          <w:rFonts w:eastAsia="Times New Roman" w:cs="Times New Roman"/>
          <w:szCs w:val="24"/>
          <w:lang w:eastAsia="es-CO"/>
        </w:rPr>
        <w:t> E.T. </w:t>
      </w:r>
      <w:hyperlink r:id="rId38" w:tooltip="Estatuto Tributario CETA" w:history="1">
        <w:r w:rsidRPr="003370F7">
          <w:rPr>
            <w:rFonts w:eastAsia="Times New Roman" w:cs="Times New Roman"/>
            <w:szCs w:val="24"/>
            <w:lang w:eastAsia="es-CO"/>
          </w:rPr>
          <w:t>art. 376</w:t>
        </w:r>
      </w:hyperlink>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1" w:name="_ftn8"/>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"_ftnref8"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[8]</w:t>
      </w:r>
      <w:r w:rsidRPr="003370F7">
        <w:rPr>
          <w:rFonts w:eastAsia="Times New Roman" w:cs="Times New Roman"/>
          <w:szCs w:val="24"/>
          <w:lang w:eastAsia="es-CO"/>
        </w:rPr>
        <w:fldChar w:fldCharType="end"/>
      </w:r>
      <w:bookmarkEnd w:id="41"/>
      <w:r w:rsidRPr="003370F7">
        <w:rPr>
          <w:rFonts w:eastAsia="Times New Roman" w:cs="Times New Roman"/>
          <w:szCs w:val="24"/>
          <w:lang w:eastAsia="es-CO"/>
        </w:rPr>
        <w:t> E.T. </w:t>
      </w:r>
      <w:hyperlink r:id="rId39" w:tooltip="Estatuto Tributario CETA" w:history="1">
        <w:r w:rsidRPr="003370F7">
          <w:rPr>
            <w:rFonts w:eastAsia="Times New Roman" w:cs="Times New Roman"/>
            <w:szCs w:val="24"/>
            <w:lang w:eastAsia="es-CO"/>
          </w:rPr>
          <w:t>art. 377</w:t>
        </w:r>
      </w:hyperlink>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2" w:name="_ftn9"/>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"_ftnref9"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[9]</w:t>
      </w:r>
      <w:r w:rsidRPr="003370F7">
        <w:rPr>
          <w:rFonts w:eastAsia="Times New Roman" w:cs="Times New Roman"/>
          <w:szCs w:val="24"/>
          <w:lang w:eastAsia="es-CO"/>
        </w:rPr>
        <w:fldChar w:fldCharType="end"/>
      </w:r>
      <w:bookmarkEnd w:id="42"/>
      <w:r w:rsidRPr="003370F7">
        <w:rPr>
          <w:rFonts w:eastAsia="Times New Roman" w:cs="Times New Roman"/>
          <w:szCs w:val="24"/>
          <w:lang w:eastAsia="es-CO"/>
        </w:rPr>
        <w:t> ET. Art. 378 a 381</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3" w:name="_ftn10"/>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"_ftnref10"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[10]</w:t>
      </w:r>
      <w:r w:rsidRPr="003370F7">
        <w:rPr>
          <w:rFonts w:eastAsia="Times New Roman" w:cs="Times New Roman"/>
          <w:szCs w:val="24"/>
          <w:lang w:eastAsia="es-CO"/>
        </w:rPr>
        <w:fldChar w:fldCharType="end"/>
      </w:r>
      <w:bookmarkEnd w:id="43"/>
      <w:r w:rsidRPr="003370F7">
        <w:rPr>
          <w:rFonts w:eastAsia="Times New Roman" w:cs="Times New Roman"/>
          <w:szCs w:val="24"/>
          <w:lang w:eastAsia="es-CO"/>
        </w:rPr>
        <w:t> Obligación formal prevista en el E.T. artículos </w:t>
      </w:r>
      <w:hyperlink r:id="rId40" w:tooltip="Estatuto Tributario CETA" w:history="1">
        <w:r w:rsidRPr="003370F7">
          <w:rPr>
            <w:rFonts w:eastAsia="Times New Roman" w:cs="Times New Roman"/>
            <w:szCs w:val="24"/>
            <w:lang w:eastAsia="es-CO"/>
          </w:rPr>
          <w:t>382</w:t>
        </w:r>
      </w:hyperlink>
      <w:r w:rsidRPr="003370F7">
        <w:rPr>
          <w:rFonts w:eastAsia="Times New Roman" w:cs="Times New Roman"/>
          <w:szCs w:val="24"/>
          <w:lang w:eastAsia="es-CO"/>
        </w:rPr>
        <w:t>, 604 a 606.</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4" w:name="_ftn11"/>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"_ftnref11"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[11]</w:t>
      </w:r>
      <w:r w:rsidRPr="003370F7">
        <w:rPr>
          <w:rFonts w:eastAsia="Times New Roman" w:cs="Times New Roman"/>
          <w:szCs w:val="24"/>
          <w:lang w:eastAsia="es-CO"/>
        </w:rPr>
        <w:fldChar w:fldCharType="end"/>
      </w:r>
      <w:bookmarkEnd w:id="44"/>
      <w:r w:rsidRPr="003370F7">
        <w:rPr>
          <w:rFonts w:eastAsia="Times New Roman" w:cs="Times New Roman"/>
          <w:szCs w:val="24"/>
          <w:lang w:eastAsia="es-CO"/>
        </w:rPr>
        <w:t> </w:t>
      </w:r>
      <w:r w:rsidRPr="003370F7">
        <w:rPr>
          <w:rFonts w:eastAsia="Times New Roman" w:cs="Times New Roman"/>
          <w:b/>
          <w:bCs/>
          <w:szCs w:val="24"/>
          <w:lang w:eastAsia="es-CO"/>
        </w:rPr>
        <w:t>E.T., </w:t>
      </w:r>
      <w:hyperlink r:id="rId41" w:tooltip="Estatuto Tributario CETA" w:history="1">
        <w:r w:rsidRPr="003370F7">
          <w:rPr>
            <w:rFonts w:eastAsia="Times New Roman" w:cs="Times New Roman"/>
            <w:b/>
            <w:bCs/>
            <w:szCs w:val="24"/>
            <w:lang w:eastAsia="es-CO"/>
          </w:rPr>
          <w:t>artículo 715</w:t>
        </w:r>
      </w:hyperlink>
      <w:r w:rsidRPr="003370F7">
        <w:rPr>
          <w:rFonts w:eastAsia="Times New Roman" w:cs="Times New Roman"/>
          <w:b/>
          <w:bCs/>
          <w:szCs w:val="24"/>
          <w:lang w:eastAsia="es-CO"/>
        </w:rPr>
        <w:t>. Emplazamiento previo por no declarar. </w:t>
      </w:r>
      <w:r w:rsidRPr="003370F7">
        <w:rPr>
          <w:rFonts w:eastAsia="Times New Roman" w:cs="Times New Roman"/>
          <w:szCs w:val="24"/>
          <w:lang w:eastAsia="es-CO"/>
        </w:rPr>
        <w:t xml:space="preserve">Quienes incumplan con la obligación de presentar las declaraciones tributarias, estando obligados a ello, serán </w:t>
      </w:r>
      <w:proofErr w:type="spellStart"/>
      <w:r w:rsidRPr="003370F7">
        <w:rPr>
          <w:rFonts w:eastAsia="Times New Roman" w:cs="Times New Roman"/>
          <w:szCs w:val="24"/>
          <w:lang w:eastAsia="es-CO"/>
        </w:rPr>
        <w:t>emplazados</w:t>
      </w:r>
      <w:proofErr w:type="spellEnd"/>
      <w:r w:rsidRPr="003370F7">
        <w:rPr>
          <w:rFonts w:eastAsia="Times New Roman" w:cs="Times New Roman"/>
          <w:szCs w:val="24"/>
          <w:lang w:eastAsia="es-CO"/>
        </w:rPr>
        <w:t xml:space="preserve"> por la Administración de Impuestos, previa comprobación de su obligación, para que lo hagan en el término perentorio de un (1) mes, advirtiéndoseles de las consecuencias legales en caso de persistir su omisión.</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El contribuyente, responsable, agente retenedor o declarante, que presente la declaración con posterioridad al emplazamiento, deberá liquidar y pagar la sanción por extemporaneidad, en los términos previstos en el </w:t>
      </w:r>
      <w:hyperlink r:id="rId42" w:tooltip="Estatuto Tributario CETA" w:history="1">
        <w:r w:rsidRPr="003370F7">
          <w:rPr>
            <w:rFonts w:eastAsia="Times New Roman" w:cs="Times New Roman"/>
            <w:szCs w:val="24"/>
            <w:lang w:eastAsia="es-CO"/>
          </w:rPr>
          <w:t>artículo 642</w:t>
        </w:r>
      </w:hyperlink>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5" w:name="_ftn12"/>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"_ftnref12"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[12]</w:t>
      </w:r>
      <w:r w:rsidRPr="003370F7">
        <w:rPr>
          <w:rFonts w:eastAsia="Times New Roman" w:cs="Times New Roman"/>
          <w:szCs w:val="24"/>
          <w:lang w:eastAsia="es-CO"/>
        </w:rPr>
        <w:fldChar w:fldCharType="end"/>
      </w:r>
      <w:bookmarkEnd w:id="45"/>
      <w:r w:rsidRPr="003370F7">
        <w:rPr>
          <w:rFonts w:eastAsia="Times New Roman" w:cs="Times New Roman"/>
          <w:szCs w:val="24"/>
          <w:lang w:eastAsia="es-CO"/>
        </w:rPr>
        <w:t> </w:t>
      </w:r>
      <w:r w:rsidRPr="003370F7">
        <w:rPr>
          <w:rFonts w:eastAsia="Times New Roman" w:cs="Times New Roman"/>
          <w:b/>
          <w:bCs/>
          <w:szCs w:val="24"/>
          <w:lang w:eastAsia="es-CO"/>
        </w:rPr>
        <w:t>E.T., </w:t>
      </w:r>
      <w:hyperlink r:id="rId43" w:tooltip="Estatuto Tributario CETA" w:history="1">
        <w:r w:rsidRPr="003370F7">
          <w:rPr>
            <w:rFonts w:eastAsia="Times New Roman" w:cs="Times New Roman"/>
            <w:b/>
            <w:bCs/>
            <w:szCs w:val="24"/>
            <w:lang w:eastAsia="es-CO"/>
          </w:rPr>
          <w:t>artículo 716</w:t>
        </w:r>
      </w:hyperlink>
      <w:r w:rsidRPr="003370F7">
        <w:rPr>
          <w:rFonts w:eastAsia="Times New Roman" w:cs="Times New Roman"/>
          <w:b/>
          <w:bCs/>
          <w:szCs w:val="24"/>
          <w:lang w:eastAsia="es-CO"/>
        </w:rPr>
        <w:t>. Consecuencia de la no presentación de la declaración con motivo del emplazamiento</w:t>
      </w:r>
      <w:r w:rsidRPr="003370F7">
        <w:rPr>
          <w:rFonts w:eastAsia="Times New Roman" w:cs="Times New Roman"/>
          <w:szCs w:val="24"/>
          <w:lang w:eastAsia="es-CO"/>
        </w:rPr>
        <w:t>. Vencido el término que otorga el emplazamiento de que trata el artículo anterior, sin que se hubiere presentado la declaración respectiva, la Administración de Impuestos procederá a aplicar la sanción por no declarar prevista en el </w:t>
      </w:r>
      <w:hyperlink r:id="rId44" w:tooltip="Estatuto Tributario CETA" w:history="1">
        <w:r w:rsidRPr="003370F7">
          <w:rPr>
            <w:rFonts w:eastAsia="Times New Roman" w:cs="Times New Roman"/>
            <w:szCs w:val="24"/>
            <w:lang w:eastAsia="es-CO"/>
          </w:rPr>
          <w:t>artículo 643</w:t>
        </w:r>
      </w:hyperlink>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6" w:name="_ftn13"/>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"_ftnref13"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[13]</w:t>
      </w:r>
      <w:r w:rsidRPr="003370F7">
        <w:rPr>
          <w:rFonts w:eastAsia="Times New Roman" w:cs="Times New Roman"/>
          <w:szCs w:val="24"/>
          <w:lang w:eastAsia="es-CO"/>
        </w:rPr>
        <w:fldChar w:fldCharType="end"/>
      </w:r>
      <w:bookmarkEnd w:id="46"/>
      <w:r w:rsidRPr="003370F7">
        <w:rPr>
          <w:rFonts w:eastAsia="Times New Roman" w:cs="Times New Roman"/>
          <w:szCs w:val="24"/>
          <w:lang w:eastAsia="es-CO"/>
        </w:rPr>
        <w:t> </w:t>
      </w:r>
      <w:r w:rsidRPr="003370F7">
        <w:rPr>
          <w:rFonts w:eastAsia="Times New Roman" w:cs="Times New Roman"/>
          <w:b/>
          <w:bCs/>
          <w:szCs w:val="24"/>
          <w:lang w:eastAsia="es-CO"/>
        </w:rPr>
        <w:t>E. T., </w:t>
      </w:r>
      <w:hyperlink r:id="rId45" w:tooltip="Estatuto Tributario CETA" w:history="1">
        <w:r w:rsidRPr="003370F7">
          <w:rPr>
            <w:rFonts w:eastAsia="Times New Roman" w:cs="Times New Roman"/>
            <w:b/>
            <w:bCs/>
            <w:szCs w:val="24"/>
            <w:lang w:eastAsia="es-CO"/>
          </w:rPr>
          <w:t>art. 643</w:t>
        </w:r>
      </w:hyperlink>
      <w:r w:rsidRPr="003370F7">
        <w:rPr>
          <w:rFonts w:eastAsia="Times New Roman" w:cs="Times New Roman"/>
          <w:b/>
          <w:bCs/>
          <w:szCs w:val="24"/>
          <w:lang w:eastAsia="es-CO"/>
        </w:rPr>
        <w:t>. Sanción por no declarar.</w:t>
      </w:r>
      <w:r w:rsidRPr="003370F7">
        <w:rPr>
          <w:rFonts w:eastAsia="Times New Roman" w:cs="Times New Roman"/>
          <w:szCs w:val="24"/>
          <w:lang w:eastAsia="es-CO"/>
        </w:rPr>
        <w:t> La sanción por no declarar será equivalente: “(…) 3. En el caso de que la omisión se refiera a la declaración de retenciones, al diez por ciento (10%) de los cheques girados o costos y gastos de quien persiste en su incumplimiento, </w:t>
      </w:r>
      <w:r w:rsidRPr="003370F7">
        <w:rPr>
          <w:rFonts w:eastAsia="Times New Roman" w:cs="Times New Roman"/>
          <w:szCs w:val="24"/>
          <w:u w:val="single"/>
          <w:lang w:eastAsia="es-CO"/>
        </w:rPr>
        <w:t>que determine la Administración por el período al cual corresponda la declaración no presentada</w:t>
      </w:r>
      <w:r w:rsidRPr="003370F7">
        <w:rPr>
          <w:rFonts w:eastAsia="Times New Roman" w:cs="Times New Roman"/>
          <w:szCs w:val="24"/>
          <w:lang w:eastAsia="es-CO"/>
        </w:rPr>
        <w:t>, o al ciento por ciento (100%) de las retenciones que figuren en la última declaración de retenciones presentada, el que fuere superior. (Aparte subrayado declarado exequible por la sentencia C-506-02).</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7" w:name="_ftn14"/>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fldChar w:fldCharType="begin"/>
      </w:r>
      <w:r w:rsidRPr="003370F7">
        <w:rPr>
          <w:rFonts w:eastAsia="Times New Roman" w:cs="Times New Roman"/>
          <w:szCs w:val="24"/>
          <w:lang w:eastAsia="es-CO"/>
        </w:rPr>
        <w:instrText xml:space="preserve"> HYPERLINK "https://www.ceta.org.co/html/vista_de_un_documento.asp?DocumentoID=32976" \l "_ftnref14"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[14]</w:t>
      </w:r>
      <w:r w:rsidRPr="003370F7">
        <w:rPr>
          <w:rFonts w:eastAsia="Times New Roman" w:cs="Times New Roman"/>
          <w:szCs w:val="24"/>
          <w:lang w:eastAsia="es-CO"/>
        </w:rPr>
        <w:fldChar w:fldCharType="end"/>
      </w:r>
      <w:bookmarkEnd w:id="47"/>
      <w:r w:rsidRPr="003370F7">
        <w:rPr>
          <w:rFonts w:eastAsia="Times New Roman" w:cs="Times New Roman"/>
          <w:szCs w:val="24"/>
          <w:lang w:eastAsia="es-CO"/>
        </w:rPr>
        <w:t xml:space="preserve"> Sentencia del 1° de octubre de 2009, </w:t>
      </w:r>
      <w:proofErr w:type="spellStart"/>
      <w:r w:rsidRPr="003370F7">
        <w:rPr>
          <w:rFonts w:eastAsia="Times New Roman" w:cs="Times New Roman"/>
          <w:szCs w:val="24"/>
          <w:lang w:eastAsia="es-CO"/>
        </w:rPr>
        <w:t>Exp</w:t>
      </w:r>
      <w:proofErr w:type="spellEnd"/>
      <w:r w:rsidRPr="003370F7">
        <w:rPr>
          <w:rFonts w:eastAsia="Times New Roman" w:cs="Times New Roman"/>
          <w:szCs w:val="24"/>
          <w:lang w:eastAsia="es-CO"/>
        </w:rPr>
        <w:t xml:space="preserve">. 16443, C.P. Hugo Fernando Bastidas Bárcenas, reiterada el 10 de febrero de 2011 </w:t>
      </w:r>
      <w:proofErr w:type="spellStart"/>
      <w:r w:rsidRPr="003370F7">
        <w:rPr>
          <w:rFonts w:eastAsia="Times New Roman" w:cs="Times New Roman"/>
          <w:szCs w:val="24"/>
          <w:lang w:eastAsia="es-CO"/>
        </w:rPr>
        <w:t>Exp</w:t>
      </w:r>
      <w:proofErr w:type="spellEnd"/>
      <w:r w:rsidRPr="003370F7">
        <w:rPr>
          <w:rFonts w:eastAsia="Times New Roman" w:cs="Times New Roman"/>
          <w:szCs w:val="24"/>
          <w:lang w:eastAsia="es-CO"/>
        </w:rPr>
        <w:t>. 17155.</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8" w:name="_ftn15"/>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"_ftnref15"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[15]</w:t>
      </w:r>
      <w:r w:rsidRPr="003370F7">
        <w:rPr>
          <w:rFonts w:eastAsia="Times New Roman" w:cs="Times New Roman"/>
          <w:szCs w:val="24"/>
          <w:lang w:eastAsia="es-CO"/>
        </w:rPr>
        <w:fldChar w:fldCharType="end"/>
      </w:r>
      <w:bookmarkEnd w:id="48"/>
      <w:r w:rsidRPr="003370F7">
        <w:rPr>
          <w:rFonts w:eastAsia="Times New Roman" w:cs="Times New Roman"/>
          <w:szCs w:val="24"/>
          <w:lang w:eastAsia="es-CO"/>
        </w:rPr>
        <w:t> Documento electrónico es todo aquel que “está contenido en soporte diverso al papel, lo que no significa que por esa razón no sea capaz de representar una idea o pensamiento. Por ello lo han definido como cualquier representación en forma electrónica de hechos jurídicamente relevantes, susceptible de ser asimilado en forma humanamente comprensible. El documento electrónico es un método de expresión que requiere de un instrumento de creación, conservación, cancelación y transmisión; tal instrumento está constituido por un aparato electrónico. De esta forma la disciplina de dicho documento no puede prescindir del computador que lo crea, lo conserva y lo cancela, y la red de terminales de computador que permiten su transmisión”</w:t>
      </w:r>
      <w:r w:rsidRPr="003370F7">
        <w:rPr>
          <w:rFonts w:eastAsia="Times New Roman" w:cs="Times New Roman"/>
          <w:i/>
          <w:iCs/>
          <w:szCs w:val="24"/>
          <w:lang w:eastAsia="es-CO"/>
        </w:rPr>
        <w:t>. </w:t>
      </w:r>
      <w:r w:rsidRPr="003370F7">
        <w:rPr>
          <w:rFonts w:eastAsia="Times New Roman" w:cs="Times New Roman"/>
          <w:szCs w:val="24"/>
          <w:lang w:eastAsia="es-CO"/>
        </w:rPr>
        <w:t xml:space="preserve">Definición citada en la sentencia del 1° de octubre de 2009, </w:t>
      </w:r>
      <w:proofErr w:type="spellStart"/>
      <w:r w:rsidRPr="003370F7">
        <w:rPr>
          <w:rFonts w:eastAsia="Times New Roman" w:cs="Times New Roman"/>
          <w:szCs w:val="24"/>
          <w:lang w:eastAsia="es-CO"/>
        </w:rPr>
        <w:t>Exp</w:t>
      </w:r>
      <w:proofErr w:type="spellEnd"/>
      <w:r w:rsidRPr="003370F7">
        <w:rPr>
          <w:rFonts w:eastAsia="Times New Roman" w:cs="Times New Roman"/>
          <w:szCs w:val="24"/>
          <w:lang w:eastAsia="es-CO"/>
        </w:rPr>
        <w:t>. 16443.</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49" w:name="_ftn16"/>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"_ftnref16"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[16]</w:t>
      </w:r>
      <w:r w:rsidRPr="003370F7">
        <w:rPr>
          <w:rFonts w:eastAsia="Times New Roman" w:cs="Times New Roman"/>
          <w:szCs w:val="24"/>
          <w:lang w:eastAsia="es-CO"/>
        </w:rPr>
        <w:fldChar w:fldCharType="end"/>
      </w:r>
      <w:bookmarkEnd w:id="49"/>
      <w:r w:rsidRPr="003370F7">
        <w:rPr>
          <w:rFonts w:eastAsia="Times New Roman" w:cs="Times New Roman"/>
          <w:szCs w:val="24"/>
          <w:lang w:eastAsia="es-CO"/>
        </w:rPr>
        <w:t> </w:t>
      </w:r>
      <w:r w:rsidRPr="003370F7">
        <w:rPr>
          <w:rFonts w:eastAsia="Times New Roman" w:cs="Times New Roman"/>
          <w:b/>
          <w:bCs/>
          <w:szCs w:val="24"/>
          <w:lang w:eastAsia="es-CO"/>
        </w:rPr>
        <w:t xml:space="preserve">Ley 527 de 1991, art. 2°, </w:t>
      </w:r>
      <w:proofErr w:type="spellStart"/>
      <w:r w:rsidRPr="003370F7">
        <w:rPr>
          <w:rFonts w:eastAsia="Times New Roman" w:cs="Times New Roman"/>
          <w:b/>
          <w:bCs/>
          <w:szCs w:val="24"/>
          <w:lang w:eastAsia="es-CO"/>
        </w:rPr>
        <w:t>lit</w:t>
      </w:r>
      <w:proofErr w:type="spellEnd"/>
      <w:r w:rsidRPr="003370F7">
        <w:rPr>
          <w:rFonts w:eastAsia="Times New Roman" w:cs="Times New Roman"/>
          <w:b/>
          <w:bCs/>
          <w:szCs w:val="24"/>
          <w:lang w:eastAsia="es-CO"/>
        </w:rPr>
        <w:t xml:space="preserve"> d). “Entidad de Certificación.</w:t>
      </w:r>
      <w:r w:rsidRPr="003370F7">
        <w:rPr>
          <w:rFonts w:eastAsia="Times New Roman" w:cs="Times New Roman"/>
          <w:szCs w:val="24"/>
          <w:lang w:eastAsia="es-CO"/>
        </w:rPr>
        <w:t> Es aquella persona que, autorizada conforme a la presente ley, está facultada para emitir certificados en relación con las firmas digitales de las personas, ofrecer o facilitar los servicios de registro y estampado cronológico de la transmisión y recepción de mensajes de datos, así como cumplir otras funciones relativas a las comunicaciones basadas en las firmas digitales”</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0" w:name="_ftn17"/>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"_ftnref17"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[17]</w:t>
      </w:r>
      <w:r w:rsidRPr="003370F7">
        <w:rPr>
          <w:rFonts w:eastAsia="Times New Roman" w:cs="Times New Roman"/>
          <w:szCs w:val="24"/>
          <w:lang w:eastAsia="es-CO"/>
        </w:rPr>
        <w:fldChar w:fldCharType="end"/>
      </w:r>
      <w:bookmarkEnd w:id="50"/>
      <w:r w:rsidRPr="003370F7">
        <w:rPr>
          <w:rFonts w:eastAsia="Times New Roman" w:cs="Times New Roman"/>
          <w:szCs w:val="24"/>
          <w:lang w:eastAsia="es-CO"/>
        </w:rPr>
        <w:t xml:space="preserve"> LÓPEZ BLANCO, Hernán Fabio, Procedimiento Civil, T. III, </w:t>
      </w:r>
      <w:proofErr w:type="spellStart"/>
      <w:r w:rsidRPr="003370F7">
        <w:rPr>
          <w:rFonts w:eastAsia="Times New Roman" w:cs="Times New Roman"/>
          <w:szCs w:val="24"/>
          <w:lang w:eastAsia="es-CO"/>
        </w:rPr>
        <w:t>Dupré</w:t>
      </w:r>
      <w:proofErr w:type="spellEnd"/>
      <w:r w:rsidRPr="003370F7">
        <w:rPr>
          <w:rFonts w:eastAsia="Times New Roman" w:cs="Times New Roman"/>
          <w:szCs w:val="24"/>
          <w:lang w:eastAsia="es-CO"/>
        </w:rPr>
        <w:t xml:space="preserve"> Editores </w:t>
      </w:r>
      <w:proofErr w:type="spellStart"/>
      <w:r w:rsidRPr="003370F7">
        <w:rPr>
          <w:rFonts w:eastAsia="Times New Roman" w:cs="Times New Roman"/>
          <w:szCs w:val="24"/>
          <w:lang w:eastAsia="es-CO"/>
        </w:rPr>
        <w:t>Ltda</w:t>
      </w:r>
      <w:proofErr w:type="spellEnd"/>
      <w:r w:rsidRPr="003370F7">
        <w:rPr>
          <w:rFonts w:eastAsia="Times New Roman" w:cs="Times New Roman"/>
          <w:szCs w:val="24"/>
          <w:lang w:eastAsia="es-CO"/>
        </w:rPr>
        <w:t>, Bogotá, 2001, Página 354. Precisa que “… lo que podríamos denominar el original del documento corresponde a lo que se halla gravado en la memoria del computador y, en exégesis pura, sería necesario aportar al proceso el aparato, lo que a todas luces es una extravagancia sin sentido. No obstante como lo que contiene esa memoria se exterioriza bien en una pantalla, ora mediante su impresión escrita, o disquete, resulta claro que podrá tomarse nota de la existencia del documento e incorporarlo al proceso mediante el escrito resultado de la labor de impresión o, así no sea la forma más práctica, en usa inspección judicial mirando el juez lo que muestra la pantalla y dejando las constancias del contenido del mismo”.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1" w:name="_ftn18"/>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"_ftnref18"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[18]</w:t>
      </w:r>
      <w:r w:rsidRPr="003370F7">
        <w:rPr>
          <w:rFonts w:eastAsia="Times New Roman" w:cs="Times New Roman"/>
          <w:szCs w:val="24"/>
          <w:lang w:eastAsia="es-CO"/>
        </w:rPr>
        <w:fldChar w:fldCharType="end"/>
      </w:r>
      <w:bookmarkEnd w:id="51"/>
      <w:r w:rsidRPr="003370F7">
        <w:rPr>
          <w:rFonts w:eastAsia="Times New Roman" w:cs="Times New Roman"/>
          <w:szCs w:val="24"/>
          <w:lang w:eastAsia="es-CO"/>
        </w:rPr>
        <w:t> Ver, entre otras, las sentencias C-214 de 1994, C-244 de 1996 y C-597/96.</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2" w:name="_ftn19"/>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"_ftnref19"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[19]</w:t>
      </w:r>
      <w:r w:rsidRPr="003370F7">
        <w:rPr>
          <w:rFonts w:eastAsia="Times New Roman" w:cs="Times New Roman"/>
          <w:szCs w:val="24"/>
          <w:lang w:eastAsia="es-CO"/>
        </w:rPr>
        <w:fldChar w:fldCharType="end"/>
      </w:r>
      <w:bookmarkEnd w:id="52"/>
      <w:r w:rsidRPr="003370F7">
        <w:rPr>
          <w:rFonts w:eastAsia="Times New Roman" w:cs="Times New Roman"/>
          <w:szCs w:val="24"/>
          <w:lang w:eastAsia="es-CO"/>
        </w:rPr>
        <w:t> </w:t>
      </w:r>
      <w:r w:rsidRPr="003370F7">
        <w:rPr>
          <w:rFonts w:eastAsia="Times New Roman" w:cs="Times New Roman"/>
          <w:b/>
          <w:bCs/>
          <w:szCs w:val="24"/>
          <w:lang w:eastAsia="es-CO"/>
        </w:rPr>
        <w:t>ARTÍCULO 197.</w:t>
      </w:r>
      <w:r w:rsidRPr="003370F7">
        <w:rPr>
          <w:rFonts w:eastAsia="Times New Roman" w:cs="Times New Roman"/>
          <w:szCs w:val="24"/>
          <w:lang w:eastAsia="es-CO"/>
        </w:rPr>
        <w:t> Las sanciones a que se refiere el Régimen Tributario Nacional se deberán imponer teniendo en cuenta los siguientes principios: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2. LESIVIDAD.</w:t>
      </w:r>
      <w:r w:rsidRPr="003370F7">
        <w:rPr>
          <w:rFonts w:eastAsia="Times New Roman" w:cs="Times New Roman"/>
          <w:szCs w:val="24"/>
          <w:lang w:eastAsia="es-CO"/>
        </w:rPr>
        <w:t> La falta será antijurídica cuando afecte el recaudo nacional</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3. FAVORABILIDAD.</w:t>
      </w:r>
      <w:r w:rsidRPr="003370F7">
        <w:rPr>
          <w:rFonts w:eastAsia="Times New Roman" w:cs="Times New Roman"/>
          <w:szCs w:val="24"/>
          <w:lang w:eastAsia="es-CO"/>
        </w:rPr>
        <w:t> En materia sancionatoria la ley permisiva o favorable, aun cuando sea posterior se aplicará de preferencia a la restrictiva o desfavorable.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3" w:name="_ftn20"/>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"_ftnref20"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[20]</w:t>
      </w:r>
      <w:r w:rsidRPr="003370F7">
        <w:rPr>
          <w:rFonts w:eastAsia="Times New Roman" w:cs="Times New Roman"/>
          <w:szCs w:val="24"/>
          <w:lang w:eastAsia="es-CO"/>
        </w:rPr>
        <w:fldChar w:fldCharType="end"/>
      </w:r>
      <w:bookmarkEnd w:id="53"/>
      <w:r w:rsidRPr="003370F7">
        <w:rPr>
          <w:rFonts w:eastAsia="Times New Roman" w:cs="Times New Roman"/>
          <w:szCs w:val="24"/>
          <w:lang w:eastAsia="es-CO"/>
        </w:rPr>
        <w:t> Artículo 282, que modificó el </w:t>
      </w:r>
      <w:hyperlink r:id="rId46" w:tooltip="Estatuto Tributario CETA" w:history="1">
        <w:r w:rsidRPr="003370F7">
          <w:rPr>
            <w:rFonts w:eastAsia="Times New Roman" w:cs="Times New Roman"/>
            <w:szCs w:val="24"/>
            <w:lang w:eastAsia="es-CO"/>
          </w:rPr>
          <w:t>Artículo 640</w:t>
        </w:r>
      </w:hyperlink>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D11848" w:rsidP="003370F7">
      <w:pPr>
        <w:spacing w:line="240" w:lineRule="auto"/>
        <w:rPr>
          <w:rFonts w:eastAsia="Times New Roman" w:cs="Times New Roman"/>
          <w:szCs w:val="24"/>
          <w:lang w:eastAsia="es-CO"/>
        </w:rPr>
      </w:pPr>
      <w:hyperlink r:id="rId47" w:tooltip="Estatuto Tributario CETA" w:history="1">
        <w:r w:rsidR="003370F7" w:rsidRPr="003370F7">
          <w:rPr>
            <w:rFonts w:eastAsia="Times New Roman" w:cs="Times New Roman"/>
            <w:b/>
            <w:bCs/>
            <w:szCs w:val="24"/>
            <w:lang w:eastAsia="es-CO"/>
          </w:rPr>
          <w:t>Artículo 640</w:t>
        </w:r>
      </w:hyperlink>
      <w:r w:rsidR="003370F7" w:rsidRPr="003370F7">
        <w:rPr>
          <w:rFonts w:eastAsia="Times New Roman" w:cs="Times New Roman"/>
          <w:b/>
          <w:bCs/>
          <w:szCs w:val="24"/>
          <w:lang w:eastAsia="es-CO"/>
        </w:rPr>
        <w:t>. </w:t>
      </w:r>
      <w:r w:rsidR="003370F7" w:rsidRPr="003370F7">
        <w:rPr>
          <w:rFonts w:eastAsia="Times New Roman" w:cs="Times New Roman"/>
          <w:b/>
          <w:bCs/>
          <w:i/>
          <w:iCs/>
          <w:szCs w:val="24"/>
          <w:lang w:eastAsia="es-CO"/>
        </w:rPr>
        <w:t>Aplicación de los principios de lesividad, proporcionalidad, gradualidad y favorabilidad en el régimen sancionatorio. </w:t>
      </w:r>
      <w:r w:rsidR="003370F7" w:rsidRPr="003370F7">
        <w:rPr>
          <w:rFonts w:eastAsia="Times New Roman" w:cs="Times New Roman"/>
          <w:szCs w:val="24"/>
          <w:lang w:eastAsia="es-CO"/>
        </w:rPr>
        <w:t xml:space="preserve">Para la aplicación del régimen sancionatorio </w:t>
      </w:r>
      <w:r w:rsidR="003370F7" w:rsidRPr="003370F7">
        <w:rPr>
          <w:rFonts w:eastAsia="Times New Roman" w:cs="Times New Roman"/>
          <w:szCs w:val="24"/>
          <w:lang w:eastAsia="es-CO"/>
        </w:rPr>
        <w:lastRenderedPageBreak/>
        <w:t>establecido en el presente Estatuto se deberá atender a lo dispuesto en el presente artículo.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PARÁGRAFO 1o. </w:t>
      </w:r>
      <w:r w:rsidRPr="003370F7">
        <w:rPr>
          <w:rFonts w:eastAsia="Times New Roman" w:cs="Times New Roman"/>
          <w:szCs w:val="24"/>
          <w:lang w:eastAsia="es-CO"/>
        </w:rPr>
        <w:t>Habrá lesividad siempre que el contribuyente incumpla con sus obligaciones tributarias. El funcionario competente deberá motivarla en el acto respectivo.”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b/>
          <w:bCs/>
          <w:szCs w:val="24"/>
          <w:lang w:eastAsia="es-CO"/>
        </w:rPr>
        <w:t>PARÁGRAFO 5o. </w:t>
      </w:r>
      <w:r w:rsidRPr="003370F7">
        <w:rPr>
          <w:rFonts w:eastAsia="Times New Roman" w:cs="Times New Roman"/>
          <w:szCs w:val="24"/>
          <w:lang w:eastAsia="es-CO"/>
        </w:rPr>
        <w:t>El principio de favorabilidad aplicará para el régimen sancionatorio tributario, aun cuando la ley permisiva o favorable sea posterior.</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4" w:name="_ftn21"/>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"_ftnref21"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[21]</w:t>
      </w:r>
      <w:r w:rsidRPr="003370F7">
        <w:rPr>
          <w:rFonts w:eastAsia="Times New Roman" w:cs="Times New Roman"/>
          <w:szCs w:val="24"/>
          <w:lang w:eastAsia="es-CO"/>
        </w:rPr>
        <w:fldChar w:fldCharType="end"/>
      </w:r>
      <w:bookmarkEnd w:id="54"/>
      <w:r w:rsidRPr="003370F7">
        <w:rPr>
          <w:rFonts w:eastAsia="Times New Roman" w:cs="Times New Roman"/>
          <w:szCs w:val="24"/>
          <w:lang w:eastAsia="es-CO"/>
        </w:rPr>
        <w:t xml:space="preserve"> Folio 130 </w:t>
      </w:r>
      <w:proofErr w:type="spellStart"/>
      <w:r w:rsidRPr="003370F7">
        <w:rPr>
          <w:rFonts w:eastAsia="Times New Roman" w:cs="Times New Roman"/>
          <w:szCs w:val="24"/>
          <w:lang w:eastAsia="es-CO"/>
        </w:rPr>
        <w:t>cp</w:t>
      </w:r>
      <w:proofErr w:type="spellEnd"/>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5" w:name="_ftn22"/>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"_ftnref22"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[22]</w:t>
      </w:r>
      <w:r w:rsidRPr="003370F7">
        <w:rPr>
          <w:rFonts w:eastAsia="Times New Roman" w:cs="Times New Roman"/>
          <w:szCs w:val="24"/>
          <w:lang w:eastAsia="es-CO"/>
        </w:rPr>
        <w:fldChar w:fldCharType="end"/>
      </w:r>
      <w:bookmarkEnd w:id="55"/>
      <w:r w:rsidRPr="003370F7">
        <w:rPr>
          <w:rFonts w:eastAsia="Times New Roman" w:cs="Times New Roman"/>
          <w:szCs w:val="24"/>
          <w:lang w:eastAsia="es-CO"/>
        </w:rPr>
        <w:t xml:space="preserve"> Folios 131 y 132 </w:t>
      </w:r>
      <w:proofErr w:type="spellStart"/>
      <w:r w:rsidRPr="003370F7">
        <w:rPr>
          <w:rFonts w:eastAsia="Times New Roman" w:cs="Times New Roman"/>
          <w:szCs w:val="24"/>
          <w:lang w:eastAsia="es-CO"/>
        </w:rPr>
        <w:t>cp</w:t>
      </w:r>
      <w:proofErr w:type="spellEnd"/>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6" w:name="_ftn23"/>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"_ftnref23"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[23]</w:t>
      </w:r>
      <w:r w:rsidRPr="003370F7">
        <w:rPr>
          <w:rFonts w:eastAsia="Times New Roman" w:cs="Times New Roman"/>
          <w:szCs w:val="24"/>
          <w:lang w:eastAsia="es-CO"/>
        </w:rPr>
        <w:fldChar w:fldCharType="end"/>
      </w:r>
      <w:bookmarkEnd w:id="56"/>
      <w:r w:rsidRPr="003370F7">
        <w:rPr>
          <w:rFonts w:eastAsia="Times New Roman" w:cs="Times New Roman"/>
          <w:szCs w:val="24"/>
          <w:lang w:eastAsia="es-CO"/>
        </w:rPr>
        <w:t xml:space="preserve"> Folio 134 </w:t>
      </w:r>
      <w:proofErr w:type="spellStart"/>
      <w:r w:rsidRPr="003370F7">
        <w:rPr>
          <w:rFonts w:eastAsia="Times New Roman" w:cs="Times New Roman"/>
          <w:szCs w:val="24"/>
          <w:lang w:eastAsia="es-CO"/>
        </w:rPr>
        <w:t>cp</w:t>
      </w:r>
      <w:proofErr w:type="spellEnd"/>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7" w:name="_ftn24"/>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"_ftnref24"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[24]</w:t>
      </w:r>
      <w:r w:rsidRPr="003370F7">
        <w:rPr>
          <w:rFonts w:eastAsia="Times New Roman" w:cs="Times New Roman"/>
          <w:szCs w:val="24"/>
          <w:lang w:eastAsia="es-CO"/>
        </w:rPr>
        <w:fldChar w:fldCharType="end"/>
      </w:r>
      <w:bookmarkEnd w:id="57"/>
      <w:r w:rsidRPr="003370F7">
        <w:rPr>
          <w:rFonts w:eastAsia="Times New Roman" w:cs="Times New Roman"/>
          <w:szCs w:val="24"/>
          <w:lang w:eastAsia="es-CO"/>
        </w:rPr>
        <w:t xml:space="preserve"> Folio 136 </w:t>
      </w:r>
      <w:proofErr w:type="spellStart"/>
      <w:r w:rsidRPr="003370F7">
        <w:rPr>
          <w:rFonts w:eastAsia="Times New Roman" w:cs="Times New Roman"/>
          <w:szCs w:val="24"/>
          <w:lang w:eastAsia="es-CO"/>
        </w:rPr>
        <w:t>cp</w:t>
      </w:r>
      <w:proofErr w:type="spellEnd"/>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8" w:name="_ftn25"/>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"_ftnref25"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[25]</w:t>
      </w:r>
      <w:r w:rsidRPr="003370F7">
        <w:rPr>
          <w:rFonts w:eastAsia="Times New Roman" w:cs="Times New Roman"/>
          <w:szCs w:val="24"/>
          <w:lang w:eastAsia="es-CO"/>
        </w:rPr>
        <w:fldChar w:fldCharType="end"/>
      </w:r>
      <w:bookmarkEnd w:id="58"/>
      <w:r w:rsidRPr="003370F7">
        <w:rPr>
          <w:rFonts w:eastAsia="Times New Roman" w:cs="Times New Roman"/>
          <w:szCs w:val="24"/>
          <w:lang w:eastAsia="es-CO"/>
        </w:rPr>
        <w:t xml:space="preserve"> Folio 136 </w:t>
      </w:r>
      <w:proofErr w:type="spellStart"/>
      <w:r w:rsidRPr="003370F7">
        <w:rPr>
          <w:rFonts w:eastAsia="Times New Roman" w:cs="Times New Roman"/>
          <w:szCs w:val="24"/>
          <w:lang w:eastAsia="es-CO"/>
        </w:rPr>
        <w:t>c.p.</w:t>
      </w:r>
      <w:proofErr w:type="spellEnd"/>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59" w:name="_ftn26"/>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"_ftnref26"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[26]</w:t>
      </w:r>
      <w:r w:rsidRPr="003370F7">
        <w:rPr>
          <w:rFonts w:eastAsia="Times New Roman" w:cs="Times New Roman"/>
          <w:szCs w:val="24"/>
          <w:lang w:eastAsia="es-CO"/>
        </w:rPr>
        <w:fldChar w:fldCharType="end"/>
      </w:r>
      <w:bookmarkEnd w:id="59"/>
      <w:r w:rsidRPr="003370F7">
        <w:rPr>
          <w:rFonts w:eastAsia="Times New Roman" w:cs="Times New Roman"/>
          <w:szCs w:val="24"/>
          <w:lang w:eastAsia="es-CO"/>
        </w:rPr>
        <w:t> Folios 156 y 157</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60" w:name="_ftn27"/>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"_ftnref27"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[27]</w:t>
      </w:r>
      <w:r w:rsidRPr="003370F7">
        <w:rPr>
          <w:rFonts w:eastAsia="Times New Roman" w:cs="Times New Roman"/>
          <w:szCs w:val="24"/>
          <w:lang w:eastAsia="es-CO"/>
        </w:rPr>
        <w:fldChar w:fldCharType="end"/>
      </w:r>
      <w:bookmarkEnd w:id="60"/>
      <w:r w:rsidRPr="003370F7">
        <w:rPr>
          <w:rFonts w:eastAsia="Times New Roman" w:cs="Times New Roman"/>
          <w:szCs w:val="24"/>
          <w:lang w:eastAsia="es-CO"/>
        </w:rPr>
        <w:t xml:space="preserve"> Folio 134 </w:t>
      </w:r>
      <w:proofErr w:type="spellStart"/>
      <w:r w:rsidRPr="003370F7">
        <w:rPr>
          <w:rFonts w:eastAsia="Times New Roman" w:cs="Times New Roman"/>
          <w:szCs w:val="24"/>
          <w:lang w:eastAsia="es-CO"/>
        </w:rPr>
        <w:t>cp</w:t>
      </w:r>
      <w:proofErr w:type="spellEnd"/>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61" w:name="_ftn28"/>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"_ftnref28"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[28]</w:t>
      </w:r>
      <w:r w:rsidRPr="003370F7">
        <w:rPr>
          <w:rFonts w:eastAsia="Times New Roman" w:cs="Times New Roman"/>
          <w:szCs w:val="24"/>
          <w:lang w:eastAsia="es-CO"/>
        </w:rPr>
        <w:fldChar w:fldCharType="end"/>
      </w:r>
      <w:bookmarkEnd w:id="61"/>
      <w:r w:rsidRPr="003370F7">
        <w:rPr>
          <w:rFonts w:eastAsia="Times New Roman" w:cs="Times New Roman"/>
          <w:szCs w:val="24"/>
          <w:lang w:eastAsia="es-CO"/>
        </w:rPr>
        <w:t> Folio 165 a 167.</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62" w:name="_ftn29"/>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"_ftnref29"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[29]</w:t>
      </w:r>
      <w:r w:rsidRPr="003370F7">
        <w:rPr>
          <w:rFonts w:eastAsia="Times New Roman" w:cs="Times New Roman"/>
          <w:szCs w:val="24"/>
          <w:lang w:eastAsia="es-CO"/>
        </w:rPr>
        <w:fldChar w:fldCharType="end"/>
      </w:r>
      <w:bookmarkEnd w:id="62"/>
      <w:r w:rsidRPr="003370F7">
        <w:rPr>
          <w:rFonts w:eastAsia="Times New Roman" w:cs="Times New Roman"/>
          <w:szCs w:val="24"/>
          <w:lang w:eastAsia="es-CO"/>
        </w:rPr>
        <w:t xml:space="preserve"> Folio 173 </w:t>
      </w:r>
      <w:proofErr w:type="spellStart"/>
      <w:r w:rsidRPr="003370F7">
        <w:rPr>
          <w:rFonts w:eastAsia="Times New Roman" w:cs="Times New Roman"/>
          <w:szCs w:val="24"/>
          <w:lang w:eastAsia="es-CO"/>
        </w:rPr>
        <w:t>cp</w:t>
      </w:r>
      <w:proofErr w:type="spellEnd"/>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63" w:name="_ftn30"/>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"_ftnref30"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[30]</w:t>
      </w:r>
      <w:r w:rsidRPr="003370F7">
        <w:rPr>
          <w:rFonts w:eastAsia="Times New Roman" w:cs="Times New Roman"/>
          <w:szCs w:val="24"/>
          <w:lang w:eastAsia="es-CO"/>
        </w:rPr>
        <w:fldChar w:fldCharType="end"/>
      </w:r>
      <w:bookmarkEnd w:id="63"/>
      <w:r w:rsidRPr="003370F7">
        <w:rPr>
          <w:rFonts w:eastAsia="Times New Roman" w:cs="Times New Roman"/>
          <w:szCs w:val="24"/>
          <w:lang w:eastAsia="es-CO"/>
        </w:rPr>
        <w:t xml:space="preserve"> Folio 175 </w:t>
      </w:r>
      <w:proofErr w:type="spellStart"/>
      <w:r w:rsidRPr="003370F7">
        <w:rPr>
          <w:rFonts w:eastAsia="Times New Roman" w:cs="Times New Roman"/>
          <w:szCs w:val="24"/>
          <w:lang w:eastAsia="es-CO"/>
        </w:rPr>
        <w:t>cp</w:t>
      </w:r>
      <w:proofErr w:type="spellEnd"/>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64" w:name="_ftn31"/>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"_ftnref31"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[31]</w:t>
      </w:r>
      <w:r w:rsidRPr="003370F7">
        <w:rPr>
          <w:rFonts w:eastAsia="Times New Roman" w:cs="Times New Roman"/>
          <w:szCs w:val="24"/>
          <w:lang w:eastAsia="es-CO"/>
        </w:rPr>
        <w:fldChar w:fldCharType="end"/>
      </w:r>
      <w:bookmarkEnd w:id="64"/>
      <w:r w:rsidRPr="003370F7">
        <w:rPr>
          <w:rFonts w:eastAsia="Times New Roman" w:cs="Times New Roman"/>
          <w:szCs w:val="24"/>
          <w:lang w:eastAsia="es-CO"/>
        </w:rPr>
        <w:t> </w:t>
      </w:r>
      <w:r w:rsidRPr="003370F7">
        <w:rPr>
          <w:rFonts w:eastAsia="Times New Roman" w:cs="Times New Roman"/>
          <w:b/>
          <w:bCs/>
          <w:szCs w:val="24"/>
          <w:lang w:eastAsia="es-CO"/>
        </w:rPr>
        <w:t>Código Civil. ARTÍCULO 63. CULPA Y DOLO. </w:t>
      </w:r>
      <w:r w:rsidRPr="003370F7">
        <w:rPr>
          <w:rFonts w:eastAsia="Times New Roman" w:cs="Times New Roman"/>
          <w:szCs w:val="24"/>
          <w:lang w:eastAsia="es-CO"/>
        </w:rPr>
        <w:t>La ley distingue tres especies de culpa o descuido. Culpa grave, negligencia grave, culpa lata, es la que consiste en no manejar los negocios ajenos con aquel cuidado que aun las personas negligentes o de poca prudencia suelen emplear en sus negocios propios. Esta culpa en materias civiles equivale al dolo.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El dolo consiste en la intención positiva de inferir injuria a la persona o propiedad de otro.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65" w:name="_ftn32"/>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"_ftnref32"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[32]</w:t>
      </w:r>
      <w:r w:rsidRPr="003370F7">
        <w:rPr>
          <w:rFonts w:eastAsia="Times New Roman" w:cs="Times New Roman"/>
          <w:szCs w:val="24"/>
          <w:lang w:eastAsia="es-CO"/>
        </w:rPr>
        <w:fldChar w:fldCharType="end"/>
      </w:r>
      <w:bookmarkEnd w:id="65"/>
      <w:r w:rsidRPr="003370F7">
        <w:rPr>
          <w:rFonts w:eastAsia="Times New Roman" w:cs="Times New Roman"/>
          <w:szCs w:val="24"/>
          <w:lang w:eastAsia="es-CO"/>
        </w:rPr>
        <w:t> </w:t>
      </w:r>
      <w:r w:rsidRPr="003370F7">
        <w:rPr>
          <w:rFonts w:eastAsia="Times New Roman" w:cs="Times New Roman"/>
          <w:b/>
          <w:bCs/>
          <w:szCs w:val="24"/>
          <w:lang w:eastAsia="es-CO"/>
        </w:rPr>
        <w:t>Código Civil. ARTÍCULO 63. CULPA Y DOLO. </w:t>
      </w:r>
      <w:r w:rsidRPr="003370F7">
        <w:rPr>
          <w:rFonts w:eastAsia="Times New Roman" w:cs="Times New Roman"/>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El que debe administrar un negocio como un buen padre de familia, es responsable de esta especie de culpa.</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lastRenderedPageBreak/>
        <w:t>Culpa o descuido levísimo es la falta de aquella esmerada diligencia que un hombre juicioso emplea en la administración de sus negocios importantes. Esta especie de culpa se opone a la suma diligencia o cuidado.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bookmarkStart w:id="66" w:name="_ftn33"/>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fldChar w:fldCharType="begin"/>
      </w:r>
      <w:r w:rsidRPr="003370F7">
        <w:rPr>
          <w:rFonts w:eastAsia="Times New Roman" w:cs="Times New Roman"/>
          <w:szCs w:val="24"/>
          <w:lang w:eastAsia="es-CO"/>
        </w:rPr>
        <w:instrText xml:space="preserve"> HYPERLINK "https://www.ceta.org.co/html/vista_de_un_documento.asp?DocumentoID=32976" \l "_ftnref33" \o "" </w:instrText>
      </w:r>
      <w:r w:rsidRPr="003370F7">
        <w:rPr>
          <w:rFonts w:eastAsia="Times New Roman" w:cs="Times New Roman"/>
          <w:szCs w:val="24"/>
          <w:lang w:eastAsia="es-CO"/>
        </w:rPr>
        <w:fldChar w:fldCharType="separate"/>
      </w:r>
      <w:r w:rsidRPr="003370F7">
        <w:rPr>
          <w:rFonts w:eastAsia="Times New Roman" w:cs="Times New Roman"/>
          <w:szCs w:val="24"/>
          <w:lang w:eastAsia="es-CO"/>
        </w:rPr>
        <w:t>[33]</w:t>
      </w:r>
      <w:r w:rsidRPr="003370F7">
        <w:rPr>
          <w:rFonts w:eastAsia="Times New Roman" w:cs="Times New Roman"/>
          <w:szCs w:val="24"/>
          <w:lang w:eastAsia="es-CO"/>
        </w:rPr>
        <w:fldChar w:fldCharType="end"/>
      </w:r>
      <w:bookmarkEnd w:id="66"/>
      <w:r w:rsidRPr="003370F7">
        <w:rPr>
          <w:rFonts w:eastAsia="Times New Roman" w:cs="Times New Roman"/>
          <w:szCs w:val="24"/>
          <w:lang w:eastAsia="es-CO"/>
        </w:rPr>
        <w:t> En sentencia del 3 de octubre de 2007, la Sección Tercera precisó sobre la culpa que es </w:t>
      </w:r>
      <w:r w:rsidRPr="003370F7">
        <w:rPr>
          <w:rFonts w:eastAsia="Times New Roman" w:cs="Times New Roman"/>
          <w:i/>
          <w:iCs/>
          <w:szCs w:val="24"/>
          <w:lang w:eastAsia="es-CO"/>
        </w:rPr>
        <w:t>“(…) la reprochable conducta de un agente que generó un daño antijurídico (injusto) no querido por él pero producido por la omisión voluntaria del deber objetivo de cuidado que le era exigible de acuerdo a sus condiciones personales y las circunstancias en que actuó33; o sea, la conducta es culposa cuando el resultado dañino es producto de la infracción al deber objetivo de cuidado y el agente debió haberlo previsto por ser previsible, o habiéndolo previsto, confió en poder evitarlo. También por culpa se ha entendido el error de conducta en que no habría incurrido una persona en las mismas circunstancias en que obró aquella cuyo comportamiento es analizado y en consideración al deber de diligencia y cuidado que le era exigible.</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i/>
          <w:iCs/>
          <w:szCs w:val="24"/>
          <w:lang w:eastAsia="es-CO"/>
        </w:rPr>
        <w:t>(…)</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i/>
          <w:iCs/>
          <w:szCs w:val="24"/>
          <w:lang w:eastAsia="es-CO"/>
        </w:rPr>
        <w:t>Tradicionalmente se ha calificado como culpa la actuación no intencional de un sujeto en forma negligente, imprudente o imperita, a la de quien de manera descuidada y sin la cautela requerida deja de cumplir u omite el deber funcional o conducta que le es exigible; y por su gravedad o intensidad, siguiendo la tradición romanista, se ha distinguido entre la culpa grave o lata, la culpa leve y la culpa levísima, clasificación tripartita con consecuencias en el ámbito de la responsabilidad contractual o extracontractual, conforme a lo que expresamente a este respecto señale el ordenamiento jurídico.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i/>
          <w:iCs/>
          <w:szCs w:val="24"/>
          <w:lang w:eastAsia="es-CO"/>
        </w:rPr>
        <w:t>De la norma que antecede se entiende que la culpa leve consiste en la omisión de la diligencia del hombre normal (</w:t>
      </w:r>
      <w:proofErr w:type="spellStart"/>
      <w:r w:rsidRPr="003370F7">
        <w:rPr>
          <w:rFonts w:eastAsia="Times New Roman" w:cs="Times New Roman"/>
          <w:i/>
          <w:iCs/>
          <w:szCs w:val="24"/>
          <w:lang w:eastAsia="es-CO"/>
        </w:rPr>
        <w:t>diligens</w:t>
      </w:r>
      <w:proofErr w:type="spellEnd"/>
      <w:r w:rsidRPr="003370F7">
        <w:rPr>
          <w:rFonts w:eastAsia="Times New Roman" w:cs="Times New Roman"/>
          <w:i/>
          <w:iCs/>
          <w:szCs w:val="24"/>
          <w:lang w:eastAsia="es-CO"/>
        </w:rPr>
        <w:t xml:space="preserve"> paterfamilias) o sea la omisión de la diligencia ordinaria en los asuntos propios; la levísima u omisión de diligencia que el hombre juicioso, experto y previsivo emplea en sus asuntos relevantes y de importancia; y la culpa lata u omisión de la diligencia mínima exigible aún al hombre descuidado y que consiste en no poner el cuidado en los negocios ajenos que este tipo de personas ponen en los suyos, y que en el régimen civil se asimila al dolo.</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i/>
          <w:iCs/>
          <w:szCs w:val="24"/>
          <w:lang w:eastAsia="es-CO"/>
        </w:rPr>
        <w:t xml:space="preserve">Respecto de la culpa grave señalan los hermanos </w:t>
      </w:r>
      <w:proofErr w:type="spellStart"/>
      <w:r w:rsidRPr="003370F7">
        <w:rPr>
          <w:rFonts w:eastAsia="Times New Roman" w:cs="Times New Roman"/>
          <w:i/>
          <w:iCs/>
          <w:szCs w:val="24"/>
          <w:lang w:eastAsia="es-CO"/>
        </w:rPr>
        <w:t>Mazeaud</w:t>
      </w:r>
      <w:proofErr w:type="spellEnd"/>
      <w:r w:rsidRPr="003370F7">
        <w:rPr>
          <w:rFonts w:eastAsia="Times New Roman" w:cs="Times New Roman"/>
          <w:i/>
          <w:iCs/>
          <w:szCs w:val="24"/>
          <w:lang w:eastAsia="es-CO"/>
        </w:rPr>
        <w:t xml:space="preserve">, que si bien es cierto no es intencional, es particularmente grosera. “Su autor no ha querido realizar el daño, pero se ha comportado como si lo hubiera querido; era preciso no comprender </w:t>
      </w:r>
      <w:proofErr w:type="spellStart"/>
      <w:r w:rsidRPr="003370F7">
        <w:rPr>
          <w:rFonts w:eastAsia="Times New Roman" w:cs="Times New Roman"/>
          <w:i/>
          <w:iCs/>
          <w:szCs w:val="24"/>
          <w:lang w:eastAsia="es-CO"/>
        </w:rPr>
        <w:t>quod</w:t>
      </w:r>
      <w:proofErr w:type="spellEnd"/>
      <w:r w:rsidRPr="003370F7">
        <w:rPr>
          <w:rFonts w:eastAsia="Times New Roman" w:cs="Times New Roman"/>
          <w:i/>
          <w:iCs/>
          <w:szCs w:val="24"/>
          <w:lang w:eastAsia="es-CO"/>
        </w:rPr>
        <w:t xml:space="preserve"> omnes </w:t>
      </w:r>
      <w:proofErr w:type="spellStart"/>
      <w:r w:rsidRPr="003370F7">
        <w:rPr>
          <w:rFonts w:eastAsia="Times New Roman" w:cs="Times New Roman"/>
          <w:i/>
          <w:iCs/>
          <w:szCs w:val="24"/>
          <w:lang w:eastAsia="es-CO"/>
        </w:rPr>
        <w:t>intellgunt</w:t>
      </w:r>
      <w:proofErr w:type="spellEnd"/>
      <w:r w:rsidRPr="003370F7">
        <w:rPr>
          <w:rFonts w:eastAsia="Times New Roman" w:cs="Times New Roman"/>
          <w:i/>
          <w:iCs/>
          <w:szCs w:val="24"/>
          <w:lang w:eastAsia="es-CO"/>
        </w:rPr>
        <w:t xml:space="preserve"> para obrar como él lo ha hecho, sin querer el daño”. De acuerdo con jurisprudencia citada por estos autores incurre en culpa grave aquel que ha “… obrado con negligencia, despreocupación o temeridad especialmente graves ...” (Derecho Civil, Parte II, vol. II, pág. 110)33 y agregan que “… reside esencialmente en un error, en una imprudencia o negligencia tal, que no podría explicarse sino por la necedad, la temeridad o la incuria del agente …” (</w:t>
      </w:r>
      <w:proofErr w:type="spellStart"/>
      <w:r w:rsidRPr="003370F7">
        <w:rPr>
          <w:rFonts w:eastAsia="Times New Roman" w:cs="Times New Roman"/>
          <w:i/>
          <w:iCs/>
          <w:szCs w:val="24"/>
          <w:lang w:eastAsia="es-CO"/>
        </w:rPr>
        <w:t>Mazeaud</w:t>
      </w:r>
      <w:proofErr w:type="spellEnd"/>
      <w:r w:rsidRPr="003370F7">
        <w:rPr>
          <w:rFonts w:eastAsia="Times New Roman" w:cs="Times New Roman"/>
          <w:i/>
          <w:iCs/>
          <w:szCs w:val="24"/>
          <w:lang w:eastAsia="es-CO"/>
        </w:rPr>
        <w:t xml:space="preserve"> y </w:t>
      </w:r>
      <w:proofErr w:type="spellStart"/>
      <w:r w:rsidRPr="003370F7">
        <w:rPr>
          <w:rFonts w:eastAsia="Times New Roman" w:cs="Times New Roman"/>
          <w:i/>
          <w:iCs/>
          <w:szCs w:val="24"/>
          <w:lang w:eastAsia="es-CO"/>
        </w:rPr>
        <w:t>Tunc</w:t>
      </w:r>
      <w:proofErr w:type="spellEnd"/>
      <w:r w:rsidRPr="003370F7">
        <w:rPr>
          <w:rFonts w:eastAsia="Times New Roman" w:cs="Times New Roman"/>
          <w:i/>
          <w:iCs/>
          <w:szCs w:val="24"/>
          <w:lang w:eastAsia="es-CO"/>
        </w:rPr>
        <w:t xml:space="preserve">, Tratado Teórico y Práctico de la Responsabilidad Civil, Delictual y Contractual, Tomo I, Volumen II, </w:t>
      </w:r>
      <w:proofErr w:type="spellStart"/>
      <w:r w:rsidRPr="003370F7">
        <w:rPr>
          <w:rFonts w:eastAsia="Times New Roman" w:cs="Times New Roman"/>
          <w:i/>
          <w:iCs/>
          <w:szCs w:val="24"/>
          <w:lang w:eastAsia="es-CO"/>
        </w:rPr>
        <w:t>pág</w:t>
      </w:r>
      <w:proofErr w:type="spellEnd"/>
      <w:r w:rsidRPr="003370F7">
        <w:rPr>
          <w:rFonts w:eastAsia="Times New Roman" w:cs="Times New Roman"/>
          <w:i/>
          <w:iCs/>
          <w:szCs w:val="24"/>
          <w:lang w:eastAsia="es-CO"/>
        </w:rPr>
        <w:t xml:space="preserve"> 384.)</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w:t>
      </w:r>
    </w:p>
    <w:p w:rsidR="003370F7" w:rsidRPr="003370F7" w:rsidRDefault="003370F7" w:rsidP="003370F7">
      <w:pPr>
        <w:spacing w:line="240" w:lineRule="auto"/>
        <w:rPr>
          <w:rFonts w:eastAsia="Times New Roman" w:cs="Times New Roman"/>
          <w:szCs w:val="24"/>
          <w:lang w:eastAsia="es-CO"/>
        </w:rPr>
      </w:pPr>
      <w:r w:rsidRPr="003370F7">
        <w:rPr>
          <w:rFonts w:eastAsia="Times New Roman" w:cs="Times New Roman"/>
          <w:szCs w:val="24"/>
          <w:lang w:eastAsia="es-CO"/>
        </w:rPr>
        <w:t xml:space="preserve">SALA DE LO CONTENCIOSO ADMINISTRATIVO. SECCIÓN TERCERA. Consejera ponente: RUTH STELLA CORREA PALACIO. Bogotá, D.C., tres (3) de octubre de dos mil siete (2007). Radicación número: 41001-23-31-000-1995-08354-01(24844). Actor: </w:t>
      </w:r>
      <w:r w:rsidRPr="003370F7">
        <w:rPr>
          <w:rFonts w:eastAsia="Times New Roman" w:cs="Times New Roman"/>
          <w:szCs w:val="24"/>
          <w:lang w:eastAsia="es-CO"/>
        </w:rPr>
        <w:lastRenderedPageBreak/>
        <w:t>INSTITUTO COLOMBIANO DE BIENESTAR FAMILIAR I.C.B.F. Demandado: ALBA DIELA CALDERÓN DE RAMÍREZ. Referencia: ACCIÓN DE REPARACIÓN DIRECTA -REPETICIÓN-.</w:t>
      </w:r>
    </w:p>
    <w:p w:rsidR="003370F7" w:rsidRPr="003370F7" w:rsidRDefault="003370F7" w:rsidP="003370F7">
      <w:pPr>
        <w:spacing w:after="285" w:line="240" w:lineRule="auto"/>
        <w:rPr>
          <w:rFonts w:eastAsia="Times New Roman" w:cs="Times New Roman"/>
          <w:szCs w:val="24"/>
          <w:lang w:eastAsia="es-CO"/>
        </w:rPr>
      </w:pPr>
      <w:r w:rsidRPr="003370F7">
        <w:rPr>
          <w:rFonts w:eastAsia="Times New Roman" w:cs="Times New Roman"/>
          <w:szCs w:val="24"/>
          <w:lang w:eastAsia="es-CO"/>
        </w:rPr>
        <w:t> </w:t>
      </w:r>
    </w:p>
    <w:p w:rsidR="00961BFA" w:rsidRPr="003370F7" w:rsidRDefault="00961BFA">
      <w:pPr>
        <w:rPr>
          <w:rFonts w:cs="Times New Roman"/>
          <w:szCs w:val="24"/>
        </w:rPr>
      </w:pPr>
    </w:p>
    <w:sectPr w:rsidR="00961BFA" w:rsidRPr="003370F7" w:rsidSect="00D11848">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F7"/>
    <w:rsid w:val="0029351E"/>
    <w:rsid w:val="003370F7"/>
    <w:rsid w:val="00961BFA"/>
    <w:rsid w:val="00B94BED"/>
    <w:rsid w:val="00D11848"/>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DBCED-5563-4633-B2C2-5EEB8C10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370F7"/>
  </w:style>
  <w:style w:type="paragraph" w:styleId="Prrafodelista">
    <w:name w:val="List Paragraph"/>
    <w:basedOn w:val="Normal"/>
    <w:uiPriority w:val="34"/>
    <w:qFormat/>
    <w:rsid w:val="003370F7"/>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3370F7"/>
    <w:rPr>
      <w:color w:val="0000FF"/>
      <w:u w:val="single"/>
    </w:rPr>
  </w:style>
  <w:style w:type="character" w:styleId="Hipervnculovisitado">
    <w:name w:val="FollowedHyperlink"/>
    <w:basedOn w:val="Fuentedeprrafopredeter"/>
    <w:uiPriority w:val="99"/>
    <w:semiHidden/>
    <w:unhideWhenUsed/>
    <w:rsid w:val="003370F7"/>
    <w:rPr>
      <w:color w:val="800080"/>
      <w:u w:val="single"/>
    </w:rPr>
  </w:style>
  <w:style w:type="character" w:styleId="Refdenotaalpie">
    <w:name w:val="footnote reference"/>
    <w:basedOn w:val="Fuentedeprrafopredeter"/>
    <w:uiPriority w:val="99"/>
    <w:semiHidden/>
    <w:unhideWhenUsed/>
    <w:rsid w:val="003370F7"/>
  </w:style>
  <w:style w:type="paragraph" w:styleId="Textonotapie">
    <w:name w:val="footnote text"/>
    <w:basedOn w:val="Normal"/>
    <w:link w:val="TextonotapieCar"/>
    <w:uiPriority w:val="99"/>
    <w:semiHidden/>
    <w:unhideWhenUsed/>
    <w:rsid w:val="003370F7"/>
    <w:pPr>
      <w:spacing w:before="100" w:beforeAutospacing="1" w:after="100" w:afterAutospacing="1" w:line="240" w:lineRule="auto"/>
      <w:jc w:val="left"/>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3370F7"/>
    <w:rPr>
      <w:rFonts w:eastAsia="Times New Roman" w:cs="Times New Roman"/>
      <w:szCs w:val="24"/>
      <w:lang w:eastAsia="es-CO"/>
    </w:rPr>
  </w:style>
  <w:style w:type="paragraph" w:styleId="NormalWeb">
    <w:name w:val="Normal (Web)"/>
    <w:basedOn w:val="Normal"/>
    <w:uiPriority w:val="99"/>
    <w:semiHidden/>
    <w:unhideWhenUsed/>
    <w:rsid w:val="003370F7"/>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02371">
      <w:bodyDiv w:val="1"/>
      <w:marLeft w:val="0"/>
      <w:marRight w:val="0"/>
      <w:marTop w:val="0"/>
      <w:marBottom w:val="0"/>
      <w:divBdr>
        <w:top w:val="none" w:sz="0" w:space="0" w:color="auto"/>
        <w:left w:val="none" w:sz="0" w:space="0" w:color="auto"/>
        <w:bottom w:val="none" w:sz="0" w:space="0" w:color="auto"/>
        <w:right w:val="none" w:sz="0" w:space="0" w:color="auto"/>
      </w:divBdr>
      <w:divsChild>
        <w:div w:id="942108998">
          <w:marLeft w:val="0"/>
          <w:marRight w:val="0"/>
          <w:marTop w:val="0"/>
          <w:marBottom w:val="0"/>
          <w:divBdr>
            <w:top w:val="none" w:sz="0" w:space="0" w:color="auto"/>
            <w:left w:val="none" w:sz="0" w:space="0" w:color="auto"/>
            <w:bottom w:val="none" w:sz="0" w:space="0" w:color="auto"/>
            <w:right w:val="none" w:sz="0" w:space="0" w:color="auto"/>
          </w:divBdr>
        </w:div>
        <w:div w:id="1030767545">
          <w:marLeft w:val="0"/>
          <w:marRight w:val="0"/>
          <w:marTop w:val="0"/>
          <w:marBottom w:val="0"/>
          <w:divBdr>
            <w:top w:val="none" w:sz="0" w:space="0" w:color="auto"/>
            <w:left w:val="none" w:sz="0" w:space="0" w:color="auto"/>
            <w:bottom w:val="none" w:sz="0" w:space="0" w:color="auto"/>
            <w:right w:val="none" w:sz="0" w:space="0" w:color="auto"/>
          </w:divBdr>
        </w:div>
        <w:div w:id="474835697">
          <w:marLeft w:val="0"/>
          <w:marRight w:val="0"/>
          <w:marTop w:val="0"/>
          <w:marBottom w:val="0"/>
          <w:divBdr>
            <w:top w:val="none" w:sz="0" w:space="0" w:color="auto"/>
            <w:left w:val="none" w:sz="0" w:space="0" w:color="auto"/>
            <w:bottom w:val="none" w:sz="0" w:space="0" w:color="auto"/>
            <w:right w:val="none" w:sz="0" w:space="0" w:color="auto"/>
          </w:divBdr>
        </w:div>
        <w:div w:id="1245607128">
          <w:marLeft w:val="0"/>
          <w:marRight w:val="0"/>
          <w:marTop w:val="0"/>
          <w:marBottom w:val="0"/>
          <w:divBdr>
            <w:top w:val="none" w:sz="0" w:space="0" w:color="auto"/>
            <w:left w:val="none" w:sz="0" w:space="0" w:color="auto"/>
            <w:bottom w:val="none" w:sz="0" w:space="0" w:color="auto"/>
            <w:right w:val="none" w:sz="0" w:space="0" w:color="auto"/>
          </w:divBdr>
        </w:div>
        <w:div w:id="859395599">
          <w:marLeft w:val="0"/>
          <w:marRight w:val="0"/>
          <w:marTop w:val="0"/>
          <w:marBottom w:val="0"/>
          <w:divBdr>
            <w:top w:val="none" w:sz="0" w:space="0" w:color="auto"/>
            <w:left w:val="none" w:sz="0" w:space="0" w:color="auto"/>
            <w:bottom w:val="none" w:sz="0" w:space="0" w:color="auto"/>
            <w:right w:val="none" w:sz="0" w:space="0" w:color="auto"/>
          </w:divBdr>
        </w:div>
        <w:div w:id="250357151">
          <w:marLeft w:val="0"/>
          <w:marRight w:val="0"/>
          <w:marTop w:val="0"/>
          <w:marBottom w:val="0"/>
          <w:divBdr>
            <w:top w:val="none" w:sz="0" w:space="0" w:color="auto"/>
            <w:left w:val="none" w:sz="0" w:space="0" w:color="auto"/>
            <w:bottom w:val="none" w:sz="0" w:space="0" w:color="auto"/>
            <w:right w:val="none" w:sz="0" w:space="0" w:color="auto"/>
          </w:divBdr>
        </w:div>
        <w:div w:id="1511524933">
          <w:marLeft w:val="0"/>
          <w:marRight w:val="0"/>
          <w:marTop w:val="0"/>
          <w:marBottom w:val="0"/>
          <w:divBdr>
            <w:top w:val="none" w:sz="0" w:space="0" w:color="auto"/>
            <w:left w:val="none" w:sz="0" w:space="0" w:color="auto"/>
            <w:bottom w:val="none" w:sz="0" w:space="0" w:color="auto"/>
            <w:right w:val="none" w:sz="0" w:space="0" w:color="auto"/>
          </w:divBdr>
        </w:div>
        <w:div w:id="146286135">
          <w:marLeft w:val="0"/>
          <w:marRight w:val="0"/>
          <w:marTop w:val="0"/>
          <w:marBottom w:val="0"/>
          <w:divBdr>
            <w:top w:val="none" w:sz="0" w:space="0" w:color="auto"/>
            <w:left w:val="none" w:sz="0" w:space="0" w:color="auto"/>
            <w:bottom w:val="none" w:sz="0" w:space="0" w:color="auto"/>
            <w:right w:val="none" w:sz="0" w:space="0" w:color="auto"/>
          </w:divBdr>
        </w:div>
        <w:div w:id="627711394">
          <w:marLeft w:val="0"/>
          <w:marRight w:val="0"/>
          <w:marTop w:val="0"/>
          <w:marBottom w:val="0"/>
          <w:divBdr>
            <w:top w:val="none" w:sz="0" w:space="0" w:color="auto"/>
            <w:left w:val="none" w:sz="0" w:space="0" w:color="auto"/>
            <w:bottom w:val="none" w:sz="0" w:space="0" w:color="auto"/>
            <w:right w:val="none" w:sz="0" w:space="0" w:color="auto"/>
          </w:divBdr>
        </w:div>
        <w:div w:id="1427996591">
          <w:marLeft w:val="0"/>
          <w:marRight w:val="0"/>
          <w:marTop w:val="0"/>
          <w:marBottom w:val="0"/>
          <w:divBdr>
            <w:top w:val="none" w:sz="0" w:space="0" w:color="auto"/>
            <w:left w:val="none" w:sz="0" w:space="0" w:color="auto"/>
            <w:bottom w:val="none" w:sz="0" w:space="0" w:color="auto"/>
            <w:right w:val="none" w:sz="0" w:space="0" w:color="auto"/>
          </w:divBdr>
        </w:div>
        <w:div w:id="117377499">
          <w:marLeft w:val="0"/>
          <w:marRight w:val="0"/>
          <w:marTop w:val="0"/>
          <w:marBottom w:val="0"/>
          <w:divBdr>
            <w:top w:val="none" w:sz="0" w:space="0" w:color="auto"/>
            <w:left w:val="none" w:sz="0" w:space="0" w:color="auto"/>
            <w:bottom w:val="none" w:sz="0" w:space="0" w:color="auto"/>
            <w:right w:val="none" w:sz="0" w:space="0" w:color="auto"/>
          </w:divBdr>
        </w:div>
        <w:div w:id="342509496">
          <w:marLeft w:val="0"/>
          <w:marRight w:val="0"/>
          <w:marTop w:val="0"/>
          <w:marBottom w:val="0"/>
          <w:divBdr>
            <w:top w:val="none" w:sz="0" w:space="0" w:color="auto"/>
            <w:left w:val="none" w:sz="0" w:space="0" w:color="auto"/>
            <w:bottom w:val="none" w:sz="0" w:space="0" w:color="auto"/>
            <w:right w:val="none" w:sz="0" w:space="0" w:color="auto"/>
          </w:divBdr>
        </w:div>
        <w:div w:id="2060203058">
          <w:marLeft w:val="0"/>
          <w:marRight w:val="0"/>
          <w:marTop w:val="0"/>
          <w:marBottom w:val="0"/>
          <w:divBdr>
            <w:top w:val="none" w:sz="0" w:space="0" w:color="auto"/>
            <w:left w:val="none" w:sz="0" w:space="0" w:color="auto"/>
            <w:bottom w:val="none" w:sz="0" w:space="0" w:color="auto"/>
            <w:right w:val="none" w:sz="0" w:space="0" w:color="auto"/>
          </w:divBdr>
        </w:div>
        <w:div w:id="2127769043">
          <w:marLeft w:val="0"/>
          <w:marRight w:val="0"/>
          <w:marTop w:val="0"/>
          <w:marBottom w:val="0"/>
          <w:divBdr>
            <w:top w:val="none" w:sz="0" w:space="0" w:color="auto"/>
            <w:left w:val="none" w:sz="0" w:space="0" w:color="auto"/>
            <w:bottom w:val="none" w:sz="0" w:space="0" w:color="auto"/>
            <w:right w:val="none" w:sz="0" w:space="0" w:color="auto"/>
          </w:divBdr>
        </w:div>
        <w:div w:id="2092966523">
          <w:marLeft w:val="0"/>
          <w:marRight w:val="0"/>
          <w:marTop w:val="0"/>
          <w:marBottom w:val="0"/>
          <w:divBdr>
            <w:top w:val="none" w:sz="0" w:space="0" w:color="auto"/>
            <w:left w:val="none" w:sz="0" w:space="0" w:color="auto"/>
            <w:bottom w:val="none" w:sz="0" w:space="0" w:color="auto"/>
            <w:right w:val="none" w:sz="0" w:space="0" w:color="auto"/>
          </w:divBdr>
        </w:div>
        <w:div w:id="1539008615">
          <w:marLeft w:val="0"/>
          <w:marRight w:val="0"/>
          <w:marTop w:val="0"/>
          <w:marBottom w:val="0"/>
          <w:divBdr>
            <w:top w:val="none" w:sz="0" w:space="0" w:color="auto"/>
            <w:left w:val="none" w:sz="0" w:space="0" w:color="auto"/>
            <w:bottom w:val="none" w:sz="0" w:space="0" w:color="auto"/>
            <w:right w:val="none" w:sz="0" w:space="0" w:color="auto"/>
          </w:divBdr>
        </w:div>
        <w:div w:id="1794714191">
          <w:marLeft w:val="0"/>
          <w:marRight w:val="0"/>
          <w:marTop w:val="0"/>
          <w:marBottom w:val="0"/>
          <w:divBdr>
            <w:top w:val="none" w:sz="0" w:space="0" w:color="auto"/>
            <w:left w:val="none" w:sz="0" w:space="0" w:color="auto"/>
            <w:bottom w:val="none" w:sz="0" w:space="0" w:color="auto"/>
            <w:right w:val="none" w:sz="0" w:space="0" w:color="auto"/>
          </w:divBdr>
        </w:div>
        <w:div w:id="519899606">
          <w:marLeft w:val="0"/>
          <w:marRight w:val="0"/>
          <w:marTop w:val="0"/>
          <w:marBottom w:val="0"/>
          <w:divBdr>
            <w:top w:val="none" w:sz="0" w:space="0" w:color="auto"/>
            <w:left w:val="none" w:sz="0" w:space="0" w:color="auto"/>
            <w:bottom w:val="none" w:sz="0" w:space="0" w:color="auto"/>
            <w:right w:val="none" w:sz="0" w:space="0" w:color="auto"/>
          </w:divBdr>
        </w:div>
        <w:div w:id="1515806183">
          <w:marLeft w:val="0"/>
          <w:marRight w:val="0"/>
          <w:marTop w:val="0"/>
          <w:marBottom w:val="0"/>
          <w:divBdr>
            <w:top w:val="none" w:sz="0" w:space="0" w:color="auto"/>
            <w:left w:val="none" w:sz="0" w:space="0" w:color="auto"/>
            <w:bottom w:val="none" w:sz="0" w:space="0" w:color="auto"/>
            <w:right w:val="none" w:sz="0" w:space="0" w:color="auto"/>
          </w:divBdr>
        </w:div>
        <w:div w:id="453862745">
          <w:marLeft w:val="0"/>
          <w:marRight w:val="0"/>
          <w:marTop w:val="0"/>
          <w:marBottom w:val="0"/>
          <w:divBdr>
            <w:top w:val="none" w:sz="0" w:space="0" w:color="auto"/>
            <w:left w:val="none" w:sz="0" w:space="0" w:color="auto"/>
            <w:bottom w:val="none" w:sz="0" w:space="0" w:color="auto"/>
            <w:right w:val="none" w:sz="0" w:space="0" w:color="auto"/>
          </w:divBdr>
        </w:div>
        <w:div w:id="970131103">
          <w:marLeft w:val="0"/>
          <w:marRight w:val="0"/>
          <w:marTop w:val="0"/>
          <w:marBottom w:val="0"/>
          <w:divBdr>
            <w:top w:val="none" w:sz="0" w:space="0" w:color="auto"/>
            <w:left w:val="none" w:sz="0" w:space="0" w:color="auto"/>
            <w:bottom w:val="none" w:sz="0" w:space="0" w:color="auto"/>
            <w:right w:val="none" w:sz="0" w:space="0" w:color="auto"/>
          </w:divBdr>
        </w:div>
        <w:div w:id="218827384">
          <w:marLeft w:val="0"/>
          <w:marRight w:val="0"/>
          <w:marTop w:val="0"/>
          <w:marBottom w:val="0"/>
          <w:divBdr>
            <w:top w:val="none" w:sz="0" w:space="0" w:color="auto"/>
            <w:left w:val="none" w:sz="0" w:space="0" w:color="auto"/>
            <w:bottom w:val="none" w:sz="0" w:space="0" w:color="auto"/>
            <w:right w:val="none" w:sz="0" w:space="0" w:color="auto"/>
          </w:divBdr>
        </w:div>
        <w:div w:id="446511776">
          <w:marLeft w:val="0"/>
          <w:marRight w:val="0"/>
          <w:marTop w:val="0"/>
          <w:marBottom w:val="0"/>
          <w:divBdr>
            <w:top w:val="none" w:sz="0" w:space="0" w:color="auto"/>
            <w:left w:val="none" w:sz="0" w:space="0" w:color="auto"/>
            <w:bottom w:val="none" w:sz="0" w:space="0" w:color="auto"/>
            <w:right w:val="none" w:sz="0" w:space="0" w:color="auto"/>
          </w:divBdr>
        </w:div>
        <w:div w:id="387608642">
          <w:marLeft w:val="0"/>
          <w:marRight w:val="0"/>
          <w:marTop w:val="0"/>
          <w:marBottom w:val="0"/>
          <w:divBdr>
            <w:top w:val="none" w:sz="0" w:space="0" w:color="auto"/>
            <w:left w:val="none" w:sz="0" w:space="0" w:color="auto"/>
            <w:bottom w:val="none" w:sz="0" w:space="0" w:color="auto"/>
            <w:right w:val="none" w:sz="0" w:space="0" w:color="auto"/>
          </w:divBdr>
        </w:div>
        <w:div w:id="885146615">
          <w:marLeft w:val="0"/>
          <w:marRight w:val="0"/>
          <w:marTop w:val="0"/>
          <w:marBottom w:val="0"/>
          <w:divBdr>
            <w:top w:val="none" w:sz="0" w:space="0" w:color="auto"/>
            <w:left w:val="none" w:sz="0" w:space="0" w:color="auto"/>
            <w:bottom w:val="none" w:sz="0" w:space="0" w:color="auto"/>
            <w:right w:val="none" w:sz="0" w:space="0" w:color="auto"/>
          </w:divBdr>
        </w:div>
        <w:div w:id="2013800334">
          <w:marLeft w:val="0"/>
          <w:marRight w:val="0"/>
          <w:marTop w:val="0"/>
          <w:marBottom w:val="0"/>
          <w:divBdr>
            <w:top w:val="none" w:sz="0" w:space="0" w:color="auto"/>
            <w:left w:val="none" w:sz="0" w:space="0" w:color="auto"/>
            <w:bottom w:val="none" w:sz="0" w:space="0" w:color="auto"/>
            <w:right w:val="none" w:sz="0" w:space="0" w:color="auto"/>
          </w:divBdr>
        </w:div>
        <w:div w:id="1966496977">
          <w:marLeft w:val="0"/>
          <w:marRight w:val="0"/>
          <w:marTop w:val="0"/>
          <w:marBottom w:val="0"/>
          <w:divBdr>
            <w:top w:val="none" w:sz="0" w:space="0" w:color="auto"/>
            <w:left w:val="none" w:sz="0" w:space="0" w:color="auto"/>
            <w:bottom w:val="none" w:sz="0" w:space="0" w:color="auto"/>
            <w:right w:val="none" w:sz="0" w:space="0" w:color="auto"/>
          </w:divBdr>
        </w:div>
        <w:div w:id="1434979774">
          <w:marLeft w:val="0"/>
          <w:marRight w:val="0"/>
          <w:marTop w:val="0"/>
          <w:marBottom w:val="0"/>
          <w:divBdr>
            <w:top w:val="none" w:sz="0" w:space="0" w:color="auto"/>
            <w:left w:val="none" w:sz="0" w:space="0" w:color="auto"/>
            <w:bottom w:val="none" w:sz="0" w:space="0" w:color="auto"/>
            <w:right w:val="none" w:sz="0" w:space="0" w:color="auto"/>
          </w:divBdr>
        </w:div>
        <w:div w:id="1144002527">
          <w:marLeft w:val="0"/>
          <w:marRight w:val="0"/>
          <w:marTop w:val="0"/>
          <w:marBottom w:val="0"/>
          <w:divBdr>
            <w:top w:val="none" w:sz="0" w:space="0" w:color="auto"/>
            <w:left w:val="none" w:sz="0" w:space="0" w:color="auto"/>
            <w:bottom w:val="none" w:sz="0" w:space="0" w:color="auto"/>
            <w:right w:val="none" w:sz="0" w:space="0" w:color="auto"/>
          </w:divBdr>
        </w:div>
        <w:div w:id="1596325995">
          <w:marLeft w:val="0"/>
          <w:marRight w:val="0"/>
          <w:marTop w:val="0"/>
          <w:marBottom w:val="0"/>
          <w:divBdr>
            <w:top w:val="none" w:sz="0" w:space="0" w:color="auto"/>
            <w:left w:val="none" w:sz="0" w:space="0" w:color="auto"/>
            <w:bottom w:val="none" w:sz="0" w:space="0" w:color="auto"/>
            <w:right w:val="none" w:sz="0" w:space="0" w:color="auto"/>
          </w:divBdr>
        </w:div>
        <w:div w:id="387535247">
          <w:marLeft w:val="0"/>
          <w:marRight w:val="0"/>
          <w:marTop w:val="0"/>
          <w:marBottom w:val="0"/>
          <w:divBdr>
            <w:top w:val="none" w:sz="0" w:space="0" w:color="auto"/>
            <w:left w:val="none" w:sz="0" w:space="0" w:color="auto"/>
            <w:bottom w:val="none" w:sz="0" w:space="0" w:color="auto"/>
            <w:right w:val="none" w:sz="0" w:space="0" w:color="auto"/>
          </w:divBdr>
        </w:div>
        <w:div w:id="1996760561">
          <w:marLeft w:val="0"/>
          <w:marRight w:val="0"/>
          <w:marTop w:val="0"/>
          <w:marBottom w:val="0"/>
          <w:divBdr>
            <w:top w:val="none" w:sz="0" w:space="0" w:color="auto"/>
            <w:left w:val="none" w:sz="0" w:space="0" w:color="auto"/>
            <w:bottom w:val="none" w:sz="0" w:space="0" w:color="auto"/>
            <w:right w:val="none" w:sz="0" w:space="0" w:color="auto"/>
          </w:divBdr>
        </w:div>
        <w:div w:id="516193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19" TargetMode="External"/><Relationship Id="rId18" Type="http://schemas.openxmlformats.org/officeDocument/2006/relationships/hyperlink" Target="https://www.ceta.org.co/html/vista_de_un_articulo.asp?Norma=716" TargetMode="External"/><Relationship Id="rId26" Type="http://schemas.openxmlformats.org/officeDocument/2006/relationships/hyperlink" Target="https://www.ceta.org.co/html/vista_de_un_articulo.asp?Norma=891" TargetMode="External"/><Relationship Id="rId39" Type="http://schemas.openxmlformats.org/officeDocument/2006/relationships/hyperlink" Target="https://www.ceta.org.co/html/vista_de_un_articulo.asp?Norma=470" TargetMode="External"/><Relationship Id="rId21" Type="http://schemas.openxmlformats.org/officeDocument/2006/relationships/hyperlink" Target="https://www.ceta.org.co/html/vista_de_un_articulo.asp?Norma=798" TargetMode="External"/><Relationship Id="rId34" Type="http://schemas.openxmlformats.org/officeDocument/2006/relationships/hyperlink" Target="https://www.ceta.org.co/html/vista_de_un_articulo.asp?Norma=800" TargetMode="External"/><Relationship Id="rId42" Type="http://schemas.openxmlformats.org/officeDocument/2006/relationships/hyperlink" Target="https://www.ceta.org.co/html/vista_de_un_articulo.asp?Norma=799" TargetMode="External"/><Relationship Id="rId47" Type="http://schemas.openxmlformats.org/officeDocument/2006/relationships/hyperlink" Target="https://www.ceta.org.co/html/vista_de_un_articulo.asp?Norma=795" TargetMode="External"/><Relationship Id="rId7" Type="http://schemas.openxmlformats.org/officeDocument/2006/relationships/hyperlink" Target="https://www.ceta.org.co/html/vista_de_un_articulo.asp?Norma=919" TargetMode="External"/><Relationship Id="rId2" Type="http://schemas.openxmlformats.org/officeDocument/2006/relationships/settings" Target="settings.xml"/><Relationship Id="rId16" Type="http://schemas.openxmlformats.org/officeDocument/2006/relationships/hyperlink" Target="https://www.ceta.org.co/html/vista_de_un_articulo.asp?Norma=716" TargetMode="External"/><Relationship Id="rId29" Type="http://schemas.openxmlformats.org/officeDocument/2006/relationships/hyperlink" Target="https://www.ceta.org.co/html/vista_de_un_articulo.asp?Norma=919" TargetMode="External"/><Relationship Id="rId11" Type="http://schemas.openxmlformats.org/officeDocument/2006/relationships/hyperlink" Target="https://www.ceta.org.co/html/vista_de_un_articulo.asp?Norma=800" TargetMode="External"/><Relationship Id="rId24" Type="http://schemas.openxmlformats.org/officeDocument/2006/relationships/hyperlink" Target="https://www.ceta.org.co/html/vista_de_un_articulo.asp?Norma=800" TargetMode="External"/><Relationship Id="rId32" Type="http://schemas.openxmlformats.org/officeDocument/2006/relationships/hyperlink" Target="https://www.ceta.org.co/html/vista_de_un_articulo.asp?Norma=850" TargetMode="External"/><Relationship Id="rId37" Type="http://schemas.openxmlformats.org/officeDocument/2006/relationships/hyperlink" Target="https://www.ceta.org.co/html/vista_de_un_articulo.asp?Norma=468" TargetMode="External"/><Relationship Id="rId40" Type="http://schemas.openxmlformats.org/officeDocument/2006/relationships/hyperlink" Target="https://www.ceta.org.co/html/vista_de_un_articulo.asp?Norma=475" TargetMode="External"/><Relationship Id="rId45" Type="http://schemas.openxmlformats.org/officeDocument/2006/relationships/hyperlink" Target="https://www.ceta.org.co/html/vista_de_un_articulo.asp?Norma=800" TargetMode="External"/><Relationship Id="rId5" Type="http://schemas.openxmlformats.org/officeDocument/2006/relationships/hyperlink" Target="https://www.ceta.org.co/html/vista_de_un_articulo.asp?Norma=800" TargetMode="External"/><Relationship Id="rId15" Type="http://schemas.openxmlformats.org/officeDocument/2006/relationships/hyperlink" Target="https://www.ceta.org.co/html/vista_de_un_articulo.asp?Norma=891" TargetMode="External"/><Relationship Id="rId23" Type="http://schemas.openxmlformats.org/officeDocument/2006/relationships/hyperlink" Target="https://www.ceta.org.co/html/vista_de_un_articulo.asp?Norma=892" TargetMode="External"/><Relationship Id="rId28" Type="http://schemas.openxmlformats.org/officeDocument/2006/relationships/hyperlink" Target="https://www.ceta.org.co/html/vista_de_un_articulo.asp?Norma=893" TargetMode="External"/><Relationship Id="rId36" Type="http://schemas.openxmlformats.org/officeDocument/2006/relationships/hyperlink" Target="https://www.ceta.org.co/html/vista_de_un_articulo.asp?Norma=714" TargetMode="External"/><Relationship Id="rId49" Type="http://schemas.openxmlformats.org/officeDocument/2006/relationships/theme" Target="theme/theme1.xml"/><Relationship Id="rId10" Type="http://schemas.openxmlformats.org/officeDocument/2006/relationships/hyperlink" Target="https://www.ceta.org.co/html/vista_de_un_articulo.asp?Norma=800" TargetMode="External"/><Relationship Id="rId19" Type="http://schemas.openxmlformats.org/officeDocument/2006/relationships/hyperlink" Target="https://www.ceta.org.co/html/vista_de_un_articulo.asp?Norma=716" TargetMode="External"/><Relationship Id="rId31" Type="http://schemas.openxmlformats.org/officeDocument/2006/relationships/hyperlink" Target="https://www.ceta.org.co/html/vista_de_un_articulo.asp?Norma=716" TargetMode="External"/><Relationship Id="rId44" Type="http://schemas.openxmlformats.org/officeDocument/2006/relationships/hyperlink" Target="https://www.ceta.org.co/html/vista_de_un_articulo.asp?Norma=800" TargetMode="External"/><Relationship Id="rId4" Type="http://schemas.openxmlformats.org/officeDocument/2006/relationships/hyperlink" Target="https://www.ceta.org.co/html/vista_de_un_articulo.asp?Norma=716" TargetMode="External"/><Relationship Id="rId9" Type="http://schemas.openxmlformats.org/officeDocument/2006/relationships/hyperlink" Target="https://www.ceta.org.co/html/vista_de_un_articulo.asp?Norma=716" TargetMode="External"/><Relationship Id="rId14" Type="http://schemas.openxmlformats.org/officeDocument/2006/relationships/hyperlink" Target="https://www.ceta.org.co/html/vista_de_un_articulo.asp?Norma=922" TargetMode="External"/><Relationship Id="rId22" Type="http://schemas.openxmlformats.org/officeDocument/2006/relationships/hyperlink" Target="https://www.ceta.org.co/html/vista_de_un_articulo.asp?Norma=891" TargetMode="External"/><Relationship Id="rId27" Type="http://schemas.openxmlformats.org/officeDocument/2006/relationships/hyperlink" Target="https://www.ceta.org.co/html/vista_de_un_articulo.asp?Norma=892" TargetMode="External"/><Relationship Id="rId30" Type="http://schemas.openxmlformats.org/officeDocument/2006/relationships/hyperlink" Target="https://www.ceta.org.co/html/vista_de_un_articulo.asp?Norma=716" TargetMode="External"/><Relationship Id="rId35" Type="http://schemas.openxmlformats.org/officeDocument/2006/relationships/hyperlink" Target="https://www.ceta.org.co/html/vista_de_un_articulo.asp?Norma=800" TargetMode="External"/><Relationship Id="rId43" Type="http://schemas.openxmlformats.org/officeDocument/2006/relationships/hyperlink" Target="https://www.ceta.org.co/html/vista_de_un_articulo.asp?Norma=892" TargetMode="External"/><Relationship Id="rId48" Type="http://schemas.openxmlformats.org/officeDocument/2006/relationships/fontTable" Target="fontTable.xml"/><Relationship Id="rId8" Type="http://schemas.openxmlformats.org/officeDocument/2006/relationships/hyperlink" Target="https://www.ceta.org.co/html/vista_de_un_articulo.asp?Norma=922"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922" TargetMode="External"/><Relationship Id="rId17" Type="http://schemas.openxmlformats.org/officeDocument/2006/relationships/hyperlink" Target="https://www.ceta.org.co/html/vista_de_un_articulo.asp?Norma=800" TargetMode="External"/><Relationship Id="rId25" Type="http://schemas.openxmlformats.org/officeDocument/2006/relationships/hyperlink" Target="https://www.ceta.org.co/html/vista_de_un_articulo.asp?Norma=800" TargetMode="External"/><Relationship Id="rId33" Type="http://schemas.openxmlformats.org/officeDocument/2006/relationships/hyperlink" Target="https://www.ceta.org.co/html/vista_de_un_articulo.asp?Norma=922" TargetMode="External"/><Relationship Id="rId38" Type="http://schemas.openxmlformats.org/officeDocument/2006/relationships/hyperlink" Target="https://www.ceta.org.co/html/vista_de_un_articulo.asp?Norma=469" TargetMode="External"/><Relationship Id="rId46" Type="http://schemas.openxmlformats.org/officeDocument/2006/relationships/hyperlink" Target="https://www.ceta.org.co/html/vista_de_un_articulo.asp?Norma=795" TargetMode="External"/><Relationship Id="rId20" Type="http://schemas.openxmlformats.org/officeDocument/2006/relationships/hyperlink" Target="https://www.ceta.org.co/html/vista_de_un_articulo.asp?Norma=714" TargetMode="External"/><Relationship Id="rId41" Type="http://schemas.openxmlformats.org/officeDocument/2006/relationships/hyperlink" Target="https://www.ceta.org.co/html/vista_de_un_articulo.asp?Norma=891" TargetMode="Externa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14272</Words>
  <Characters>78498</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2017-11-19T16:42:00Z</dcterms:created>
  <dcterms:modified xsi:type="dcterms:W3CDTF">2017-11-19T21:21:00Z</dcterms:modified>
</cp:coreProperties>
</file>