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58" w:rsidRPr="00357458" w:rsidRDefault="00357458" w:rsidP="003574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OFICIO Nº 018129</w:t>
      </w:r>
    </w:p>
    <w:p w:rsidR="00357458" w:rsidRPr="00357458" w:rsidRDefault="00357458" w:rsidP="003574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19-06-2015</w:t>
      </w:r>
    </w:p>
    <w:p w:rsidR="00357458" w:rsidRPr="00357458" w:rsidRDefault="00357458" w:rsidP="003574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b/>
          <w:bCs/>
          <w:color w:val="0000FF"/>
          <w:sz w:val="28"/>
          <w:szCs w:val="28"/>
          <w:lang w:eastAsia="es-CO"/>
        </w:rPr>
        <w:t>DIAN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Subdirección de Gestión Normativa y Doctrina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Bogotá, D. C.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100208221-000794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Referencia:</w:t>
      </w: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 Radicado 005683 del 16/02/2015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b/>
          <w:bCs/>
          <w:sz w:val="18"/>
          <w:szCs w:val="18"/>
          <w:lang w:eastAsia="es-CO"/>
        </w:rPr>
        <w:t>Tema:</w:t>
      </w:r>
      <w:r w:rsidRPr="00357458">
        <w:rPr>
          <w:rFonts w:ascii="Segoe UI" w:eastAsia="Times New Roman" w:hAnsi="Segoe UI" w:cs="Segoe UI"/>
          <w:sz w:val="18"/>
          <w:szCs w:val="18"/>
          <w:lang w:eastAsia="es-CO"/>
        </w:rPr>
        <w:t> Impuesto sobre la Renta y Complementarios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b/>
          <w:bCs/>
          <w:sz w:val="18"/>
          <w:szCs w:val="18"/>
          <w:lang w:eastAsia="es-CO"/>
        </w:rPr>
        <w:t>Descriptores:</w:t>
      </w:r>
      <w:r w:rsidRPr="00357458">
        <w:rPr>
          <w:rFonts w:ascii="Segoe UI" w:eastAsia="Times New Roman" w:hAnsi="Segoe UI" w:cs="Segoe UI"/>
          <w:sz w:val="18"/>
          <w:szCs w:val="18"/>
          <w:lang w:eastAsia="es-CO"/>
        </w:rPr>
        <w:t> Deducción de Gastos Efectuados en el Exterior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b/>
          <w:bCs/>
          <w:sz w:val="22"/>
          <w:lang w:eastAsia="es-CO"/>
        </w:rPr>
        <w:t>Fuentes formales:</w:t>
      </w:r>
      <w:r w:rsidRPr="00357458">
        <w:rPr>
          <w:rFonts w:ascii="Segoe UI" w:eastAsia="Times New Roman" w:hAnsi="Segoe UI" w:cs="Segoe UI"/>
          <w:sz w:val="22"/>
          <w:lang w:eastAsia="es-CO"/>
        </w:rPr>
        <w:t> Estatuto Tributario artículos </w:t>
      </w:r>
      <w:hyperlink r:id="rId4" w:tooltip="Estatuto Tributario CETA" w:history="1">
        <w:r w:rsidRPr="00357458">
          <w:rPr>
            <w:rFonts w:ascii="Segoe UI" w:eastAsia="Times New Roman" w:hAnsi="Segoe UI" w:cs="Segoe UI"/>
            <w:color w:val="0089E1"/>
            <w:sz w:val="22"/>
            <w:lang w:eastAsia="es-CO"/>
          </w:rPr>
          <w:t>121</w:t>
        </w:r>
      </w:hyperlink>
      <w:r w:rsidRPr="00357458">
        <w:rPr>
          <w:rFonts w:ascii="Segoe UI" w:eastAsia="Times New Roman" w:hAnsi="Segoe UI" w:cs="Segoe UI"/>
          <w:sz w:val="22"/>
          <w:lang w:eastAsia="es-CO"/>
        </w:rPr>
        <w:t>, </w:t>
      </w:r>
      <w:hyperlink r:id="rId5" w:tooltip="Estatuto Tributario CETA" w:history="1">
        <w:r w:rsidRPr="00357458">
          <w:rPr>
            <w:rFonts w:ascii="Segoe UI" w:eastAsia="Times New Roman" w:hAnsi="Segoe UI" w:cs="Segoe UI"/>
            <w:color w:val="0089E1"/>
            <w:sz w:val="22"/>
            <w:lang w:eastAsia="es-CO"/>
          </w:rPr>
          <w:t>122</w:t>
        </w:r>
      </w:hyperlink>
      <w:r w:rsidRPr="00357458">
        <w:rPr>
          <w:rFonts w:ascii="Segoe UI" w:eastAsia="Times New Roman" w:hAnsi="Segoe UI" w:cs="Segoe UI"/>
          <w:sz w:val="22"/>
          <w:lang w:eastAsia="es-CO"/>
        </w:rPr>
        <w:t>; Concepto 103513 de 2009.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De conformidad con el artículo 20 del Decreto número 4048 de 2008, es función de esta Subdirección absolver las consultas escritas que se formulen sobre interpretación y aplicación de las normas tributarias de carácter nacional, aduaneras y cambiarias en lo de competencia de esta Entidad.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En el escrito de la referencia sostiene que esta Subdirección señaló que: “[E]l límite del 15% por gastos con vinculados en el exterior no aplica para los convenios de doble tributación y paraísos fiscales, siempre y cuando se cumplan con los requisitos señalados en los conceptos 077842 de 2011 y 1335 de 2014”.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En razón de lo anterior pregunta si un contribuyente del impuesto sobre la renta obligado a presentar la declaración y estudio de precios de transferencia debe aplicar el límite del 15% establecido en el </w:t>
      </w:r>
      <w:hyperlink r:id="rId6" w:tooltip="Estatuto Tributario CETA" w:history="1">
        <w:r w:rsidRPr="00357458">
          <w:rPr>
            <w:rFonts w:ascii="Segoe UI" w:eastAsia="Times New Roman" w:hAnsi="Segoe UI" w:cs="Segoe UI"/>
            <w:color w:val="0089E1"/>
            <w:sz w:val="22"/>
            <w:lang w:eastAsia="es-CO"/>
          </w:rPr>
          <w:t>artículo 122</w:t>
        </w:r>
      </w:hyperlink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 del Estatuto Tributario para los costos y deducciones por expensas en el exterior en operaciones con su vinculada, ubicada en un país con el cual Colombia no tiene suscrito convenio para evitar la doble imposición y tampoco se encuentra catalogado como un paraíso fiscal en el Decreto número 1966 de octubre 7 de 2014.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Sea lo primero manifestar que los Conceptos 103513 de 2009 y 077842 de 2011, son referidos a la limitación de gastos con vinculados en el exterior, a la luz de los convenios internacionales, y en particular este último en lo atinente al Convenio de Doble Imposición (CDI) suscrito entre la República de Colombia y el Reino de España, supuestos diferentes a los planteados en su consulta.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Ahora bien, el </w:t>
      </w:r>
      <w:hyperlink r:id="rId7" w:tooltip="Estatuto Tributario CETA" w:history="1">
        <w:r w:rsidRPr="00357458">
          <w:rPr>
            <w:rFonts w:ascii="Segoe UI" w:eastAsia="Times New Roman" w:hAnsi="Segoe UI" w:cs="Segoe UI"/>
            <w:color w:val="0089E1"/>
            <w:sz w:val="22"/>
            <w:lang w:eastAsia="es-CO"/>
          </w:rPr>
          <w:t>artículo 121</w:t>
        </w:r>
      </w:hyperlink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 del Estatuto Tributario señala:</w:t>
      </w:r>
    </w:p>
    <w:p w:rsidR="00357458" w:rsidRPr="00357458" w:rsidRDefault="00357458" w:rsidP="0035745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“</w:t>
      </w:r>
      <w:hyperlink r:id="rId8" w:tooltip="Estatuto Tributario CETA" w:history="1">
        <w:r w:rsidRPr="00357458">
          <w:rPr>
            <w:rFonts w:ascii="Segoe UI" w:eastAsia="Times New Roman" w:hAnsi="Segoe UI" w:cs="Segoe UI"/>
            <w:b/>
            <w:bCs/>
            <w:color w:val="0089E1"/>
            <w:sz w:val="22"/>
            <w:lang w:eastAsia="es-CO"/>
          </w:rPr>
          <w:t>Artículo 121</w:t>
        </w:r>
      </w:hyperlink>
      <w:r w:rsidRPr="00357458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. </w:t>
      </w:r>
      <w:r w:rsidRPr="00357458">
        <w:rPr>
          <w:rFonts w:ascii="Segoe UI" w:eastAsia="Times New Roman" w:hAnsi="Segoe UI" w:cs="Segoe UI"/>
          <w:b/>
          <w:bCs/>
          <w:i/>
          <w:iCs/>
          <w:color w:val="000000"/>
          <w:sz w:val="22"/>
          <w:lang w:eastAsia="es-CO"/>
        </w:rPr>
        <w:t>Deducción de gastos en el exterior. </w:t>
      </w: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Los contribuyentes podrán deducir los gastos efectuados en el exterior, que tengan relación de causalidad con rentas de fuente dentro del país, siempre y cuando se haya efectuado la retención en la fuente si lo pagado constituye para su beneficiario renta gravable en Colombia.</w:t>
      </w:r>
    </w:p>
    <w:p w:rsidR="00357458" w:rsidRPr="00357458" w:rsidRDefault="00357458" w:rsidP="0035745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Son deducibles sin que sea necesaria la retención:</w:t>
      </w:r>
    </w:p>
    <w:p w:rsidR="00357458" w:rsidRPr="00357458" w:rsidRDefault="00357458" w:rsidP="0035745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a) </w:t>
      </w:r>
      <w:r w:rsidRPr="00357458">
        <w:rPr>
          <w:rFonts w:ascii="Segoe UI" w:eastAsia="Times New Roman" w:hAnsi="Segoe UI" w:cs="Segoe UI"/>
          <w:sz w:val="22"/>
          <w:u w:val="single"/>
          <w:lang w:eastAsia="es-CO"/>
        </w:rPr>
        <w:t>Los pagos a comisionistas en el exterior por la compra o venta de mercancías, materias primas u otra clase de bienes</w:t>
      </w: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, en cuanto no excedan del porcentaje del valor de la operación en el año gravable que señale el Ministerio de Hacienda y Crédito Público;</w:t>
      </w:r>
    </w:p>
    <w:p w:rsidR="00357458" w:rsidRPr="00357458" w:rsidRDefault="00357458" w:rsidP="0035745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b) Los intereses sobre créditos a corto plazo derivados de la importación o exportación de mercancías o de sobregiros o descubiertos bancarios, en cuanto no excedan del porcentaje del valor de cada crédito o sobregiro que señale el Banco de la República”.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lastRenderedPageBreak/>
        <w:t>De acuerdo con la norma, se exigen dos requisitos para la procedencia de la deducción de gastos en el exterior, a saber: a) que exista relación de causalidad del gasto con la renta de quien lo efectúa; y b) que se haya practicado retención en la fuente si lo pagado constituye renta gravable en Colombia para su beneficiario.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Por su parte, el </w:t>
      </w:r>
      <w:hyperlink r:id="rId9" w:tooltip="Estatuto Tributario CETA" w:history="1">
        <w:r w:rsidRPr="00357458">
          <w:rPr>
            <w:rFonts w:ascii="Segoe UI" w:eastAsia="Times New Roman" w:hAnsi="Segoe UI" w:cs="Segoe UI"/>
            <w:color w:val="0089E1"/>
            <w:sz w:val="22"/>
            <w:lang w:eastAsia="es-CO"/>
          </w:rPr>
          <w:t>artículo 122</w:t>
        </w:r>
      </w:hyperlink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 del E.T., trae una limitación a dichos costos y deducciones, junto con 7 excepciones así:</w:t>
      </w:r>
    </w:p>
    <w:p w:rsidR="00357458" w:rsidRPr="00357458" w:rsidRDefault="00357458" w:rsidP="0035745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“</w:t>
      </w:r>
      <w:hyperlink r:id="rId10" w:tooltip="Estatuto Tributario CETA" w:history="1">
        <w:r w:rsidRPr="00357458">
          <w:rPr>
            <w:rFonts w:ascii="Segoe UI" w:eastAsia="Times New Roman" w:hAnsi="Segoe UI" w:cs="Segoe UI"/>
            <w:b/>
            <w:bCs/>
            <w:color w:val="0089E1"/>
            <w:sz w:val="22"/>
            <w:lang w:eastAsia="es-CO"/>
          </w:rPr>
          <w:t>Artículo 122</w:t>
        </w:r>
      </w:hyperlink>
      <w:r w:rsidRPr="00357458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. </w:t>
      </w:r>
      <w:r w:rsidRPr="00357458">
        <w:rPr>
          <w:rFonts w:ascii="Segoe UI" w:eastAsia="Times New Roman" w:hAnsi="Segoe UI" w:cs="Segoe UI"/>
          <w:b/>
          <w:bCs/>
          <w:i/>
          <w:iCs/>
          <w:color w:val="000000"/>
          <w:sz w:val="22"/>
          <w:lang w:eastAsia="es-CO"/>
        </w:rPr>
        <w:t>Limitación a los costos y deducciones. </w:t>
      </w: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&lt;Artículo modificado por el artículo 84 de la Ley 223 de 1995.&gt; </w:t>
      </w:r>
      <w:r w:rsidRPr="00357458">
        <w:rPr>
          <w:rFonts w:ascii="Segoe UI" w:eastAsia="Times New Roman" w:hAnsi="Segoe UI" w:cs="Segoe UI"/>
          <w:sz w:val="22"/>
          <w:u w:val="single"/>
          <w:lang w:eastAsia="es-CO"/>
        </w:rPr>
        <w:t>Los costos o deducciones por expensas en el exterior para la obtención de rentas de fuente dentro del país, no pueden exceder del quince por ciento (15%) de la renta líquida del contribuyente, computada antes de descontar tales costos o deducciones, salvo cuando se trate de los siguientes pagos</w:t>
      </w: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:</w:t>
      </w:r>
    </w:p>
    <w:p w:rsidR="00357458" w:rsidRPr="00357458" w:rsidRDefault="00357458" w:rsidP="0035745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a) Aquellos respecto de los cuales sea obligatoria la retención en la fuente;</w:t>
      </w:r>
    </w:p>
    <w:p w:rsidR="00357458" w:rsidRPr="00357458" w:rsidRDefault="00357458" w:rsidP="0035745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b) Los referidos en los literales a) y b) del artículo anterior;</w:t>
      </w:r>
    </w:p>
    <w:p w:rsidR="00357458" w:rsidRPr="00357458" w:rsidRDefault="00357458" w:rsidP="0035745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c) Los contemplados en el artículo 25;</w:t>
      </w:r>
    </w:p>
    <w:p w:rsidR="00357458" w:rsidRPr="00357458" w:rsidRDefault="00357458" w:rsidP="0035745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d) Los pagos o abonos en cuenta por adquisición de cualquier clase de bienes corporales.</w:t>
      </w:r>
    </w:p>
    <w:p w:rsidR="00357458" w:rsidRPr="00357458" w:rsidRDefault="00357458" w:rsidP="0035745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e) Los </w:t>
      </w:r>
      <w:r w:rsidRPr="00357458">
        <w:rPr>
          <w:rFonts w:ascii="Segoe UI" w:eastAsia="Times New Roman" w:hAnsi="Segoe UI" w:cs="Segoe UI"/>
          <w:sz w:val="22"/>
          <w:u w:val="single"/>
          <w:lang w:eastAsia="es-CO"/>
        </w:rPr>
        <w:t>costos</w:t>
      </w: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 y gastos que se capitalizan para su amortización posterior de acuerdo con las normas de contabilidad generalmente aceptadas, o los que deban activarse de acuerdo con tales normas;</w:t>
      </w:r>
    </w:p>
    <w:p w:rsidR="00357458" w:rsidRPr="00357458" w:rsidRDefault="00357458" w:rsidP="0035745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f) Aquellos en que se incurra en cumplimiento de una obligación legal, tales como los servicios de certificación aduanera;</w:t>
      </w:r>
    </w:p>
    <w:p w:rsidR="00357458" w:rsidRPr="00357458" w:rsidRDefault="00357458" w:rsidP="00357458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g) &lt;Literal adicionado por el artículo 93 de la Ley 1607 de 2012.&gt; Los intereses sobre créditos otorgados a contribuyentes residentes en el país por parte de organismos multilaterales de crédito, a cuyo acto constitutivo haya adherido Colombia, siempre y cuando se encuentre vigente y en él se establezca que el respectivo organismo multilateral está exento de impuesto sobre la renta”. (El subrayado es nuestro).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La norma anteriormente transcrita, establece un límite (regla) general a la deducción de expensas en el exterior del 15% de la renta líquida del contribuyente antes de descontar dichos costos o deducciones tal y como lo contempla la norma. Asimismo, trae como se mencionó, las excepciones a la regla general, donde indica, en cuáles casos no operará el límite para la deducción del 15%, y por consiguiente esta podrá ser del 100%.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En conclusión, si la vinculada se encuentra localizada en un país con el cual Colombia no tiene CDI, habrá lugar a la aplicación de las reglas generales anteriormente expuestas, esto es, las referidas en el E.T., sin matiz alguno.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color w:val="000000"/>
          <w:sz w:val="22"/>
          <w:lang w:eastAsia="es-CO"/>
        </w:rPr>
        <w:t>Atentamente,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b/>
          <w:bCs/>
          <w:color w:val="000000"/>
          <w:sz w:val="22"/>
          <w:lang w:eastAsia="es-CO"/>
        </w:rPr>
        <w:t>El Subdirector de Gestión Normativa y Doctrina,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proofErr w:type="spellStart"/>
      <w:r w:rsidRPr="0035745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Yumer</w:t>
      </w:r>
      <w:proofErr w:type="spellEnd"/>
      <w:r w:rsidRPr="0035745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 </w:t>
      </w:r>
      <w:proofErr w:type="spellStart"/>
      <w:r w:rsidRPr="0035745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>Yoel</w:t>
      </w:r>
      <w:proofErr w:type="spellEnd"/>
      <w:r w:rsidRPr="00357458">
        <w:rPr>
          <w:rFonts w:ascii="Segoe UI" w:eastAsia="Times New Roman" w:hAnsi="Segoe UI" w:cs="Segoe UI"/>
          <w:i/>
          <w:iCs/>
          <w:color w:val="000000"/>
          <w:sz w:val="18"/>
          <w:szCs w:val="18"/>
          <w:lang w:eastAsia="es-CO"/>
        </w:rPr>
        <w:t xml:space="preserve"> Aguilar Vargas.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 </w:t>
      </w:r>
    </w:p>
    <w:p w:rsidR="00357458" w:rsidRPr="00357458" w:rsidRDefault="00357458" w:rsidP="0035745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357458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es-CO"/>
        </w:rPr>
        <w:t>Publicado en D.O. 49.573 del 14 de julio de 2015.</w:t>
      </w:r>
    </w:p>
    <w:p w:rsidR="00961BFA" w:rsidRDefault="00961BFA" w:rsidP="00357458">
      <w:pPr>
        <w:jc w:val="both"/>
      </w:pPr>
      <w:bookmarkStart w:id="0" w:name="_GoBack"/>
      <w:bookmarkEnd w:id="0"/>
    </w:p>
    <w:sectPr w:rsidR="00961BFA" w:rsidSect="00B94BED">
      <w:pgSz w:w="12242" w:h="18705" w:code="120"/>
      <w:pgMar w:top="1701" w:right="1701" w:bottom="1701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58"/>
    <w:rsid w:val="0029351E"/>
    <w:rsid w:val="00357458"/>
    <w:rsid w:val="00961BFA"/>
    <w:rsid w:val="00B94BED"/>
    <w:rsid w:val="00E3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2D455D6A-FF29-4A1E-96FD-EFE06EFE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a.org.co/html/vista_de_un_articulo.asp?Norma=1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eta.org.co/html/vista_de_un_articulo.asp?Norma=17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ta.org.co/html/vista_de_un_articulo.asp?Norma=1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eta.org.co/html/vista_de_un_articulo.asp?Norma=173" TargetMode="External"/><Relationship Id="rId10" Type="http://schemas.openxmlformats.org/officeDocument/2006/relationships/hyperlink" Target="http://www.ceta.org.co/html/vista_de_un_articulo.asp?Norma=173" TargetMode="External"/><Relationship Id="rId4" Type="http://schemas.openxmlformats.org/officeDocument/2006/relationships/hyperlink" Target="http://www.ceta.org.co/html/vista_de_un_articulo.asp?Norma=172" TargetMode="External"/><Relationship Id="rId9" Type="http://schemas.openxmlformats.org/officeDocument/2006/relationships/hyperlink" Target="http://www.ceta.org.co/html/vista_de_un_articulo.asp?Norma=17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NACIONAL DE ESTUDIOS TRIBUTARIOS DE COLOMBIA CNETCO</dc:creator>
  <cp:keywords/>
  <dc:description/>
  <cp:lastModifiedBy>CENTRO NACIONAL DE ESTUDIOS TRIBUTARIOS DE COLOMBIA CNETCO</cp:lastModifiedBy>
  <cp:revision>1</cp:revision>
  <dcterms:created xsi:type="dcterms:W3CDTF">2015-08-23T15:15:00Z</dcterms:created>
  <dcterms:modified xsi:type="dcterms:W3CDTF">2015-08-23T15:16:00Z</dcterms:modified>
</cp:coreProperties>
</file>