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9E2" w:rsidRDefault="00BF29E2" w:rsidP="00BF29E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</w:pPr>
    </w:p>
    <w:p w:rsidR="00BF29E2" w:rsidRPr="00BF29E2" w:rsidRDefault="00BF29E2" w:rsidP="00BF29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bookmarkStart w:id="0" w:name="_GoBack"/>
      <w:bookmarkEnd w:id="0"/>
      <w:r w:rsidRPr="00BF29E2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OFICIO Nº 018127</w:t>
      </w:r>
    </w:p>
    <w:p w:rsidR="00BF29E2" w:rsidRPr="00BF29E2" w:rsidRDefault="00BF29E2" w:rsidP="00BF29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29E2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19-06-2015</w:t>
      </w:r>
    </w:p>
    <w:p w:rsidR="00BF29E2" w:rsidRPr="00BF29E2" w:rsidRDefault="00BF29E2" w:rsidP="00BF29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29E2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DIAN</w:t>
      </w:r>
    </w:p>
    <w:p w:rsidR="00BF29E2" w:rsidRPr="00BF29E2" w:rsidRDefault="00BF29E2" w:rsidP="00BF29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29E2">
        <w:rPr>
          <w:rFonts w:ascii="Segoe UI" w:eastAsia="Times New Roman" w:hAnsi="Segoe UI" w:cs="Segoe UI"/>
          <w:b/>
          <w:bCs/>
          <w:color w:val="0000FF"/>
          <w:sz w:val="22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29E2">
        <w:rPr>
          <w:rFonts w:ascii="Segoe UI" w:eastAsia="Times New Roman" w:hAnsi="Segoe UI" w:cs="Segoe UI"/>
          <w:b/>
          <w:bCs/>
          <w:color w:val="0000FF"/>
          <w:sz w:val="22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Subdirección de Gestión Normativa y Doctrina</w:t>
      </w:r>
    </w:p>
    <w:p w:rsidR="00BF29E2" w:rsidRPr="00BF29E2" w:rsidRDefault="00BF29E2" w:rsidP="00BF29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Bogotá, D. C.</w:t>
      </w:r>
    </w:p>
    <w:p w:rsidR="00BF29E2" w:rsidRPr="00BF29E2" w:rsidRDefault="00BF29E2" w:rsidP="00BF29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100208221-000785</w:t>
      </w:r>
    </w:p>
    <w:p w:rsidR="00BF29E2" w:rsidRPr="00BF29E2" w:rsidRDefault="00BF29E2" w:rsidP="00BF29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BF29E2">
        <w:rPr>
          <w:rFonts w:ascii="Segoe UI" w:eastAsia="Times New Roman" w:hAnsi="Segoe UI" w:cs="Segoe UI"/>
          <w:b/>
          <w:bCs/>
          <w:color w:val="000000"/>
          <w:szCs w:val="24"/>
          <w:lang w:eastAsia="es-CO"/>
        </w:rPr>
        <w:t>Referencia: </w:t>
      </w:r>
      <w:r w:rsidRPr="00BF29E2">
        <w:rPr>
          <w:rFonts w:ascii="Segoe UI" w:eastAsia="Times New Roman" w:hAnsi="Segoe UI" w:cs="Segoe UI"/>
          <w:color w:val="000000"/>
          <w:szCs w:val="24"/>
          <w:lang w:eastAsia="es-CO"/>
        </w:rPr>
        <w:t>Radicado número 05505 del 20 de febrero de 2015</w:t>
      </w:r>
    </w:p>
    <w:p w:rsidR="00BF29E2" w:rsidRPr="00BF29E2" w:rsidRDefault="00BF29E2" w:rsidP="00BF29E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Cs w:val="24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BF29E2">
        <w:rPr>
          <w:rFonts w:ascii="Segoe UI" w:eastAsia="Times New Roman" w:hAnsi="Segoe UI" w:cs="Segoe UI"/>
          <w:b/>
          <w:bCs/>
          <w:color w:val="000000"/>
          <w:szCs w:val="24"/>
          <w:lang w:eastAsia="es-CO"/>
        </w:rPr>
        <w:t>Tema: </w:t>
      </w:r>
      <w:r w:rsidRPr="00BF29E2">
        <w:rPr>
          <w:rFonts w:ascii="Segoe UI" w:eastAsia="Times New Roman" w:hAnsi="Segoe UI" w:cs="Segoe UI"/>
          <w:color w:val="000000"/>
          <w:szCs w:val="24"/>
          <w:lang w:eastAsia="es-CO"/>
        </w:rPr>
        <w:t>Impuesto a las ventas</w:t>
      </w:r>
    </w:p>
    <w:p w:rsidR="00BF29E2" w:rsidRPr="00BF29E2" w:rsidRDefault="00BF29E2" w:rsidP="00BF29E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BF29E2">
        <w:rPr>
          <w:rFonts w:ascii="Segoe UI" w:eastAsia="Times New Roman" w:hAnsi="Segoe UI" w:cs="Segoe UI"/>
          <w:b/>
          <w:bCs/>
          <w:color w:val="000000"/>
          <w:szCs w:val="24"/>
          <w:lang w:eastAsia="es-CO"/>
        </w:rPr>
        <w:t>Descriptores: </w:t>
      </w:r>
      <w:r w:rsidRPr="00BF29E2">
        <w:rPr>
          <w:rFonts w:ascii="Segoe UI" w:eastAsia="Times New Roman" w:hAnsi="Segoe UI" w:cs="Segoe UI"/>
          <w:color w:val="000000"/>
          <w:szCs w:val="24"/>
          <w:lang w:eastAsia="es-CO"/>
        </w:rPr>
        <w:t>Periodicidad - Declaración</w:t>
      </w:r>
    </w:p>
    <w:p w:rsidR="00BF29E2" w:rsidRPr="00BF29E2" w:rsidRDefault="00BF29E2" w:rsidP="00BF29E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BF29E2">
        <w:rPr>
          <w:rFonts w:ascii="Segoe UI" w:eastAsia="Times New Roman" w:hAnsi="Segoe UI" w:cs="Segoe UI"/>
          <w:b/>
          <w:bCs/>
          <w:color w:val="000000"/>
          <w:szCs w:val="24"/>
          <w:lang w:eastAsia="es-CO"/>
        </w:rPr>
        <w:t>Fuentes formales: </w:t>
      </w:r>
      <w:r w:rsidRPr="00BF29E2">
        <w:rPr>
          <w:rFonts w:ascii="Segoe UI" w:eastAsia="Times New Roman" w:hAnsi="Segoe UI" w:cs="Segoe UI"/>
          <w:color w:val="000000"/>
          <w:szCs w:val="24"/>
          <w:lang w:eastAsia="es-CO"/>
        </w:rPr>
        <w:t>Artículos 4° de la Ley 1314 de 2009, </w:t>
      </w:r>
      <w:hyperlink r:id="rId4" w:tooltip="Estatuto Tributario CETA" w:history="1">
        <w:r w:rsidRPr="00BF29E2">
          <w:rPr>
            <w:rFonts w:ascii="Segoe UI" w:eastAsia="Times New Roman" w:hAnsi="Segoe UI" w:cs="Segoe UI"/>
            <w:color w:val="0089E1"/>
            <w:szCs w:val="24"/>
            <w:lang w:eastAsia="es-CO"/>
          </w:rPr>
          <w:t>26</w:t>
        </w:r>
      </w:hyperlink>
      <w:r w:rsidRPr="00BF29E2">
        <w:rPr>
          <w:rFonts w:ascii="Segoe UI" w:eastAsia="Times New Roman" w:hAnsi="Segoe UI" w:cs="Segoe UI"/>
          <w:color w:val="000000"/>
          <w:szCs w:val="24"/>
          <w:lang w:eastAsia="es-CO"/>
        </w:rPr>
        <w:t> y </w:t>
      </w:r>
      <w:hyperlink r:id="rId5" w:tooltip="Estatuto Tributario CETA" w:history="1">
        <w:r w:rsidRPr="00BF29E2">
          <w:rPr>
            <w:rFonts w:ascii="Segoe UI" w:eastAsia="Times New Roman" w:hAnsi="Segoe UI" w:cs="Segoe UI"/>
            <w:color w:val="0089E1"/>
            <w:szCs w:val="24"/>
            <w:lang w:eastAsia="es-CO"/>
          </w:rPr>
          <w:t>600</w:t>
        </w:r>
      </w:hyperlink>
      <w:r w:rsidRPr="00BF29E2">
        <w:rPr>
          <w:rFonts w:ascii="Segoe UI" w:eastAsia="Times New Roman" w:hAnsi="Segoe UI" w:cs="Segoe UI"/>
          <w:color w:val="000000"/>
          <w:szCs w:val="24"/>
          <w:lang w:eastAsia="es-CO"/>
        </w:rPr>
        <w:t> del Estatuto Tributario.</w:t>
      </w:r>
    </w:p>
    <w:p w:rsidR="00BF29E2" w:rsidRPr="00BF29E2" w:rsidRDefault="00BF29E2" w:rsidP="00BF29E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Cs w:val="24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Cs w:val="24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Cs w:val="24"/>
          <w:lang w:eastAsia="es-CO"/>
        </w:rPr>
        <w:t>Cordial saludo señor Ramírez M.</w:t>
      </w:r>
    </w:p>
    <w:p w:rsidR="00BF29E2" w:rsidRPr="00BF29E2" w:rsidRDefault="00BF29E2" w:rsidP="00BF29E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De conformidad con el artículo 20 del Decreto número 4048 de 2008 es función de esta Subdirección absolver las consultas escritas que se formulen sobre la interpretación y aplicación de las normas tributarias de carácter nacional, aduaneras y cambiarias en lo de competencia de la Entidad.</w:t>
      </w:r>
    </w:p>
    <w:p w:rsidR="00BF29E2" w:rsidRPr="00BF29E2" w:rsidRDefault="00BF29E2" w:rsidP="00BF29E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Mediante el radicado de la referencia, consulta si los ingresos brutos a 31 de diciembre del año gravable anterior, a que hace referencia el </w:t>
      </w:r>
      <w:hyperlink r:id="rId6" w:tooltip="Estatuto Tributario CETA" w:history="1">
        <w:r w:rsidRPr="00BF29E2">
          <w:rPr>
            <w:rFonts w:ascii="Segoe UI" w:eastAsia="Times New Roman" w:hAnsi="Segoe UI" w:cs="Segoe UI"/>
            <w:color w:val="0089E1"/>
            <w:sz w:val="22"/>
            <w:lang w:eastAsia="es-CO"/>
          </w:rPr>
          <w:t>artículo 600</w:t>
        </w:r>
      </w:hyperlink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 del Estatuto Tributario, son contables o fiscales para efectos de la determinación del período gravable del impuesto sobre las ventas.</w:t>
      </w:r>
    </w:p>
    <w:p w:rsidR="00BF29E2" w:rsidRPr="00BF29E2" w:rsidRDefault="00BF29E2" w:rsidP="00BF29E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Sobre el particular, el </w:t>
      </w:r>
      <w:hyperlink r:id="rId7" w:tooltip="Estatuto Tributario CETA" w:history="1">
        <w:r w:rsidRPr="00BF29E2">
          <w:rPr>
            <w:rFonts w:ascii="Segoe UI" w:eastAsia="Times New Roman" w:hAnsi="Segoe UI" w:cs="Segoe UI"/>
            <w:color w:val="0089E1"/>
            <w:sz w:val="22"/>
            <w:lang w:eastAsia="es-CO"/>
          </w:rPr>
          <w:t>artículo 600</w:t>
        </w:r>
      </w:hyperlink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 del Estatuto Tributario, modificado por el artículo 61 de la Ley 1607 de 2012, establece los períodos gravables del impuesto sobre las ventas, así:</w:t>
      </w:r>
    </w:p>
    <w:p w:rsidR="00BF29E2" w:rsidRPr="00BF29E2" w:rsidRDefault="00BF29E2" w:rsidP="00BF29E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i) </w:t>
      </w:r>
      <w:r w:rsidRPr="00BF29E2">
        <w:rPr>
          <w:rFonts w:ascii="Segoe UI" w:eastAsia="Times New Roman" w:hAnsi="Segoe UI" w:cs="Segoe UI"/>
          <w:i/>
          <w:iCs/>
          <w:color w:val="000000"/>
          <w:sz w:val="22"/>
          <w:lang w:eastAsia="es-CO"/>
        </w:rPr>
        <w:t>“Declaración y pago bimestral para aquellos responsables de este impuesto, grandes contribuyentes y aquellas personas jurídicas y naturales cuyos </w:t>
      </w:r>
      <w:r w:rsidRPr="00BF29E2">
        <w:rPr>
          <w:rFonts w:ascii="Segoe UI" w:eastAsia="Times New Roman" w:hAnsi="Segoe UI" w:cs="Segoe UI"/>
          <w:b/>
          <w:bCs/>
          <w:i/>
          <w:iCs/>
          <w:color w:val="000000"/>
          <w:sz w:val="22"/>
          <w:lang w:eastAsia="es-CO"/>
        </w:rPr>
        <w:t>ingresos brutos a 31 de diciembre del año gravable anterior sean iguales o superiores a noventa y dos mil (92.000) UVT </w:t>
      </w:r>
      <w:r w:rsidRPr="00BF29E2">
        <w:rPr>
          <w:rFonts w:ascii="Segoe UI" w:eastAsia="Times New Roman" w:hAnsi="Segoe UI" w:cs="Segoe UI"/>
          <w:i/>
          <w:iCs/>
          <w:color w:val="000000"/>
          <w:sz w:val="22"/>
          <w:lang w:eastAsia="es-CO"/>
        </w:rPr>
        <w:t>y para los responsables de que tratan los artículos </w:t>
      </w:r>
      <w:hyperlink r:id="rId8" w:tooltip="Estatuto Tributario CETA" w:history="1">
        <w:r w:rsidRPr="00BF29E2">
          <w:rPr>
            <w:rFonts w:ascii="Segoe UI" w:eastAsia="Times New Roman" w:hAnsi="Segoe UI" w:cs="Segoe UI"/>
            <w:i/>
            <w:iCs/>
            <w:color w:val="0089E1"/>
            <w:sz w:val="22"/>
            <w:lang w:eastAsia="es-CO"/>
          </w:rPr>
          <w:t>477</w:t>
        </w:r>
      </w:hyperlink>
      <w:r w:rsidRPr="00BF29E2">
        <w:rPr>
          <w:rFonts w:ascii="Segoe UI" w:eastAsia="Times New Roman" w:hAnsi="Segoe UI" w:cs="Segoe UI"/>
          <w:i/>
          <w:iCs/>
          <w:color w:val="000000"/>
          <w:sz w:val="22"/>
          <w:lang w:eastAsia="es-CO"/>
        </w:rPr>
        <w:t> y </w:t>
      </w:r>
      <w:hyperlink r:id="rId9" w:tooltip="Estatuto Tributario CETA" w:history="1">
        <w:r w:rsidRPr="00BF29E2">
          <w:rPr>
            <w:rFonts w:ascii="Segoe UI" w:eastAsia="Times New Roman" w:hAnsi="Segoe UI" w:cs="Segoe UI"/>
            <w:i/>
            <w:iCs/>
            <w:color w:val="0089E1"/>
            <w:sz w:val="22"/>
            <w:lang w:eastAsia="es-CO"/>
          </w:rPr>
          <w:t>481</w:t>
        </w:r>
      </w:hyperlink>
      <w:r w:rsidRPr="00BF29E2">
        <w:rPr>
          <w:rFonts w:ascii="Segoe UI" w:eastAsia="Times New Roman" w:hAnsi="Segoe UI" w:cs="Segoe UI"/>
          <w:i/>
          <w:iCs/>
          <w:color w:val="000000"/>
          <w:sz w:val="22"/>
          <w:lang w:eastAsia="es-CO"/>
        </w:rPr>
        <w:t> de este Estatuto” </w:t>
      </w: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(negrilla fuera de texto).</w:t>
      </w:r>
    </w:p>
    <w:p w:rsidR="00BF29E2" w:rsidRPr="00BF29E2" w:rsidRDefault="00BF29E2" w:rsidP="00BF29E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ii) </w:t>
      </w:r>
      <w:r w:rsidRPr="00BF29E2">
        <w:rPr>
          <w:rFonts w:ascii="Segoe UI" w:eastAsia="Times New Roman" w:hAnsi="Segoe UI" w:cs="Segoe UI"/>
          <w:i/>
          <w:iCs/>
          <w:color w:val="000000"/>
          <w:sz w:val="22"/>
          <w:lang w:eastAsia="es-CO"/>
        </w:rPr>
        <w:t>“Declaración y pago cuatrimestral para aquellos responsables de este impuesto, personas jurídicas y naturales cuyos </w:t>
      </w:r>
      <w:r w:rsidRPr="00BF29E2">
        <w:rPr>
          <w:rFonts w:ascii="Segoe UI" w:eastAsia="Times New Roman" w:hAnsi="Segoe UI" w:cs="Segoe UI"/>
          <w:b/>
          <w:bCs/>
          <w:i/>
          <w:iCs/>
          <w:color w:val="000000"/>
          <w:sz w:val="22"/>
          <w:lang w:eastAsia="es-CO"/>
        </w:rPr>
        <w:t>ingresos brutos a 31 de diciembre del año gravable anterior sean iguales o superiores a quince mil (15.000) UVT pero inferiores a noventa y dos mil (92.000) UVT</w:t>
      </w:r>
      <w:r w:rsidRPr="00BF29E2">
        <w:rPr>
          <w:rFonts w:ascii="Segoe UI" w:eastAsia="Times New Roman" w:hAnsi="Segoe UI" w:cs="Segoe UI"/>
          <w:i/>
          <w:iCs/>
          <w:color w:val="000000"/>
          <w:sz w:val="22"/>
          <w:lang w:eastAsia="es-CO"/>
        </w:rPr>
        <w:t>” </w:t>
      </w: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(negrilla fuera de texto).</w:t>
      </w:r>
    </w:p>
    <w:p w:rsidR="00BF29E2" w:rsidRPr="00BF29E2" w:rsidRDefault="00BF29E2" w:rsidP="00BF29E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iii) </w:t>
      </w:r>
      <w:r w:rsidRPr="00BF29E2">
        <w:rPr>
          <w:rFonts w:ascii="Segoe UI" w:eastAsia="Times New Roman" w:hAnsi="Segoe UI" w:cs="Segoe UI"/>
          <w:i/>
          <w:iCs/>
          <w:color w:val="000000"/>
          <w:sz w:val="22"/>
          <w:lang w:eastAsia="es-CO"/>
        </w:rPr>
        <w:t>“Declaración anual para aquellos responsables personas jurídicas y naturales cuyos </w:t>
      </w:r>
      <w:r w:rsidRPr="00BF29E2">
        <w:rPr>
          <w:rFonts w:ascii="Segoe UI" w:eastAsia="Times New Roman" w:hAnsi="Segoe UI" w:cs="Segoe UI"/>
          <w:b/>
          <w:bCs/>
          <w:i/>
          <w:iCs/>
          <w:color w:val="000000"/>
          <w:sz w:val="22"/>
          <w:lang w:eastAsia="es-CO"/>
        </w:rPr>
        <w:t>ingresos brutos generados a 31 de diciembre del año gravable anterior sean inferiores a quince mil (15.000) UVT</w:t>
      </w:r>
      <w:r w:rsidRPr="00BF29E2">
        <w:rPr>
          <w:rFonts w:ascii="Segoe UI" w:eastAsia="Times New Roman" w:hAnsi="Segoe UI" w:cs="Segoe UI"/>
          <w:i/>
          <w:iCs/>
          <w:color w:val="000000"/>
          <w:sz w:val="22"/>
          <w:lang w:eastAsia="es-CO"/>
        </w:rPr>
        <w:t>” </w:t>
      </w: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(negrilla fuera de texto).</w:t>
      </w:r>
    </w:p>
    <w:p w:rsidR="00BF29E2" w:rsidRPr="00BF29E2" w:rsidRDefault="00BF29E2" w:rsidP="00BF29E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Por su parte, el artículo 4° de la Ley 1314 de 2009 –por la cual se regulan los principios y normas de contabilidad e información financiera y de aseguramiento de información aceptados en Colombia– dispone:</w:t>
      </w:r>
    </w:p>
    <w:p w:rsidR="00BF29E2" w:rsidRPr="00BF29E2" w:rsidRDefault="00BF29E2" w:rsidP="00BF29E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i/>
          <w:iCs/>
          <w:color w:val="000000"/>
          <w:sz w:val="22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i/>
          <w:iCs/>
          <w:color w:val="000000"/>
          <w:sz w:val="22"/>
          <w:lang w:eastAsia="es-CO"/>
        </w:rPr>
        <w:lastRenderedPageBreak/>
        <w:t>“Artículo 4°. INDEPENDENCIA Y AUTONOMÍA DE LAS NORMAS TRIBUTARIAS FRENTE A LAS DE CONTABILIDAD Y DE INFORMACIÓN FINANCIERA. Las normas expedidas en desarrollo de esta ley, </w:t>
      </w:r>
      <w:r w:rsidRPr="00BF29E2">
        <w:rPr>
          <w:rFonts w:ascii="Segoe UI" w:eastAsia="Times New Roman" w:hAnsi="Segoe UI" w:cs="Segoe UI"/>
          <w:b/>
          <w:bCs/>
          <w:i/>
          <w:iCs/>
          <w:color w:val="000000"/>
          <w:sz w:val="22"/>
          <w:lang w:eastAsia="es-CO"/>
        </w:rPr>
        <w:t>únicamente tendrán efecto impositivo cuando las leyes tributarias remitan expresamente a ellas o cuando estas no regulen la materia</w:t>
      </w:r>
      <w:r w:rsidRPr="00BF29E2">
        <w:rPr>
          <w:rFonts w:ascii="Segoe UI" w:eastAsia="Times New Roman" w:hAnsi="Segoe UI" w:cs="Segoe UI"/>
          <w:i/>
          <w:iCs/>
          <w:color w:val="000000"/>
          <w:sz w:val="22"/>
          <w:lang w:eastAsia="es-CO"/>
        </w:rPr>
        <w:t>.</w:t>
      </w:r>
    </w:p>
    <w:p w:rsidR="00BF29E2" w:rsidRPr="00BF29E2" w:rsidRDefault="00BF29E2" w:rsidP="00BF29E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i/>
          <w:iCs/>
          <w:color w:val="000000"/>
          <w:sz w:val="22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i/>
          <w:iCs/>
          <w:color w:val="000000"/>
          <w:sz w:val="22"/>
          <w:lang w:eastAsia="es-CO"/>
        </w:rPr>
        <w:t>A su vez, </w:t>
      </w:r>
      <w:r w:rsidRPr="00BF29E2">
        <w:rPr>
          <w:rFonts w:ascii="Segoe UI" w:eastAsia="Times New Roman" w:hAnsi="Segoe UI" w:cs="Segoe UI"/>
          <w:b/>
          <w:bCs/>
          <w:i/>
          <w:iCs/>
          <w:color w:val="000000"/>
          <w:sz w:val="22"/>
          <w:lang w:eastAsia="es-CO"/>
        </w:rPr>
        <w:t>las disposiciones tributarias únicamente producen efectos fiscales</w:t>
      </w:r>
      <w:r w:rsidRPr="00BF29E2">
        <w:rPr>
          <w:rFonts w:ascii="Segoe UI" w:eastAsia="Times New Roman" w:hAnsi="Segoe UI" w:cs="Segoe UI"/>
          <w:i/>
          <w:iCs/>
          <w:color w:val="000000"/>
          <w:sz w:val="22"/>
          <w:lang w:eastAsia="es-CO"/>
        </w:rPr>
        <w:t>. Las declaraciones tributarias y sus soportes deberán ser preparados según lo determina la legislación fiscal.</w:t>
      </w:r>
    </w:p>
    <w:p w:rsidR="00BF29E2" w:rsidRPr="00BF29E2" w:rsidRDefault="00BF29E2" w:rsidP="00BF29E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i/>
          <w:iCs/>
          <w:color w:val="000000"/>
          <w:sz w:val="22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i/>
          <w:iCs/>
          <w:color w:val="000000"/>
          <w:sz w:val="22"/>
          <w:lang w:eastAsia="es-CO"/>
        </w:rPr>
        <w:t>Únicamente para fines fiscales, cuando se presente incompatibilidad entre las normas contables y de información financiera y las de carácter tributario, prevalecerán estas últimas.</w:t>
      </w:r>
    </w:p>
    <w:p w:rsidR="00BF29E2" w:rsidRPr="00BF29E2" w:rsidRDefault="00BF29E2" w:rsidP="00BF29E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i/>
          <w:iCs/>
          <w:color w:val="000000"/>
          <w:sz w:val="22"/>
          <w:lang w:eastAsia="es-CO"/>
        </w:rPr>
        <w:t>(…)” </w:t>
      </w: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(negrilla fuera de texto).</w:t>
      </w:r>
    </w:p>
    <w:p w:rsidR="00BF29E2" w:rsidRPr="00BF29E2" w:rsidRDefault="00BF29E2" w:rsidP="00BF29E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Cs w:val="24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Cs w:val="24"/>
          <w:lang w:eastAsia="es-CO"/>
        </w:rPr>
        <w:t>Luego, toda vez que la norma consultada es de carácter tributario y en ella no se hace una remisión expresa a las normas contables, es palmario para este Despacho que los ingresos brutos a 31 de diciembre del año gravable anterior, a que hace referencia el </w:t>
      </w:r>
      <w:hyperlink r:id="rId10" w:tooltip="Estatuto Tributario CETA" w:history="1">
        <w:r w:rsidRPr="00BF29E2">
          <w:rPr>
            <w:rFonts w:ascii="Segoe UI" w:eastAsia="Times New Roman" w:hAnsi="Segoe UI" w:cs="Segoe UI"/>
            <w:color w:val="0089E1"/>
            <w:szCs w:val="24"/>
            <w:lang w:eastAsia="es-CO"/>
          </w:rPr>
          <w:t>artículo 600</w:t>
        </w:r>
      </w:hyperlink>
      <w:r w:rsidRPr="00BF29E2">
        <w:rPr>
          <w:rFonts w:ascii="Segoe UI" w:eastAsia="Times New Roman" w:hAnsi="Segoe UI" w:cs="Segoe UI"/>
          <w:color w:val="000000"/>
          <w:szCs w:val="24"/>
          <w:lang w:eastAsia="es-CO"/>
        </w:rPr>
        <w:t> del Estatuto Tributario, son de orden exclusivamente fiscal.</w:t>
      </w:r>
    </w:p>
    <w:p w:rsidR="00BF29E2" w:rsidRPr="00BF29E2" w:rsidRDefault="00BF29E2" w:rsidP="00BF29E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Cs w:val="24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Así las cosas y siendo que la disposición en comento no especificó el origen de tales ingresos, en atención al principio de interpretación conforme el cual </w:t>
      </w:r>
      <w:r w:rsidRPr="00BF29E2">
        <w:rPr>
          <w:rFonts w:ascii="Segoe UI" w:eastAsia="Times New Roman" w:hAnsi="Segoe UI" w:cs="Segoe UI"/>
          <w:i/>
          <w:iCs/>
          <w:color w:val="000000"/>
          <w:sz w:val="22"/>
          <w:lang w:eastAsia="es-CO"/>
        </w:rPr>
        <w:t>“donde el legislador no distingue no le es dado al intérprete hacerlo”</w:t>
      </w: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, deben considerarse como ingresos brutos los provenientes tanto de las operaciones gravadas, exentas y excluidas del impuesto sobre las ventas, como de las no gravadas con este tributo, para lo cual será necesario remitirse al </w:t>
      </w:r>
      <w:hyperlink r:id="rId11" w:tooltip="Estatuto Tributario CETA" w:history="1">
        <w:r w:rsidRPr="00BF29E2">
          <w:rPr>
            <w:rFonts w:ascii="Segoe UI" w:eastAsia="Times New Roman" w:hAnsi="Segoe UI" w:cs="Segoe UI"/>
            <w:color w:val="0089E1"/>
            <w:sz w:val="22"/>
            <w:lang w:eastAsia="es-CO"/>
          </w:rPr>
          <w:t>artículo 26</w:t>
        </w:r>
      </w:hyperlink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 del Estatuto Tributario.</w:t>
      </w:r>
    </w:p>
    <w:p w:rsidR="00BF29E2" w:rsidRPr="00BF29E2" w:rsidRDefault="00BF29E2" w:rsidP="00BF29E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En efecto, esta última norma señala que los ingresos brutos son producto </w:t>
      </w:r>
      <w:r w:rsidRPr="00BF29E2">
        <w:rPr>
          <w:rFonts w:ascii="Segoe UI" w:eastAsia="Times New Roman" w:hAnsi="Segoe UI" w:cs="Segoe UI"/>
          <w:i/>
          <w:iCs/>
          <w:color w:val="000000"/>
          <w:sz w:val="22"/>
          <w:lang w:eastAsia="es-CO"/>
        </w:rPr>
        <w:t>“de la suma de todos los ingresos ordinarios y extraordinarios realizados en el año o período gravable, que sean susceptibles de producir un incremento neto del patrimonio en el momento de su percepción, y que no hayan sido expresamente exceptuados”.</w:t>
      </w:r>
    </w:p>
    <w:p w:rsidR="00BF29E2" w:rsidRPr="00BF29E2" w:rsidRDefault="00BF29E2" w:rsidP="00BF29E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Atentamente,</w:t>
      </w:r>
    </w:p>
    <w:p w:rsidR="00BF29E2" w:rsidRPr="00BF29E2" w:rsidRDefault="00BF29E2" w:rsidP="00BF29E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El Subdirector de Gestión Normativa y Doctrina,</w:t>
      </w:r>
    </w:p>
    <w:p w:rsidR="00BF29E2" w:rsidRPr="00BF29E2" w:rsidRDefault="00BF29E2" w:rsidP="00BF29E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BF29E2">
        <w:rPr>
          <w:rFonts w:ascii="Segoe UI" w:eastAsia="Times New Roman" w:hAnsi="Segoe UI" w:cs="Segoe UI"/>
          <w:b/>
          <w:bCs/>
          <w:i/>
          <w:iCs/>
          <w:color w:val="000000"/>
          <w:szCs w:val="24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proofErr w:type="spellStart"/>
      <w:r w:rsidRPr="00BF29E2">
        <w:rPr>
          <w:rFonts w:ascii="Segoe UI" w:eastAsia="Times New Roman" w:hAnsi="Segoe UI" w:cs="Segoe UI"/>
          <w:i/>
          <w:iCs/>
          <w:color w:val="000000"/>
          <w:szCs w:val="24"/>
          <w:lang w:eastAsia="es-CO"/>
        </w:rPr>
        <w:t>Yumer</w:t>
      </w:r>
      <w:proofErr w:type="spellEnd"/>
      <w:r w:rsidRPr="00BF29E2">
        <w:rPr>
          <w:rFonts w:ascii="Segoe UI" w:eastAsia="Times New Roman" w:hAnsi="Segoe UI" w:cs="Segoe UI"/>
          <w:i/>
          <w:iCs/>
          <w:color w:val="000000"/>
          <w:szCs w:val="24"/>
          <w:lang w:eastAsia="es-CO"/>
        </w:rPr>
        <w:t xml:space="preserve"> </w:t>
      </w:r>
      <w:proofErr w:type="spellStart"/>
      <w:r w:rsidRPr="00BF29E2">
        <w:rPr>
          <w:rFonts w:ascii="Segoe UI" w:eastAsia="Times New Roman" w:hAnsi="Segoe UI" w:cs="Segoe UI"/>
          <w:i/>
          <w:iCs/>
          <w:color w:val="000000"/>
          <w:szCs w:val="24"/>
          <w:lang w:eastAsia="es-CO"/>
        </w:rPr>
        <w:t>Yoel</w:t>
      </w:r>
      <w:proofErr w:type="spellEnd"/>
      <w:r w:rsidRPr="00BF29E2">
        <w:rPr>
          <w:rFonts w:ascii="Segoe UI" w:eastAsia="Times New Roman" w:hAnsi="Segoe UI" w:cs="Segoe UI"/>
          <w:i/>
          <w:iCs/>
          <w:color w:val="000000"/>
          <w:szCs w:val="24"/>
          <w:lang w:eastAsia="es-CO"/>
        </w:rPr>
        <w:t xml:space="preserve"> Aguilar Vargas.</w:t>
      </w:r>
    </w:p>
    <w:p w:rsidR="00BF29E2" w:rsidRPr="00BF29E2" w:rsidRDefault="00BF29E2" w:rsidP="00BF29E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BF29E2">
        <w:rPr>
          <w:rFonts w:ascii="Segoe UI" w:eastAsia="Times New Roman" w:hAnsi="Segoe UI" w:cs="Segoe UI"/>
          <w:i/>
          <w:iCs/>
          <w:color w:val="000000"/>
          <w:szCs w:val="24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BF29E2">
        <w:rPr>
          <w:rFonts w:ascii="Segoe UI" w:eastAsia="Times New Roman" w:hAnsi="Segoe UI" w:cs="Segoe UI"/>
          <w:i/>
          <w:iCs/>
          <w:color w:val="000000"/>
          <w:szCs w:val="24"/>
          <w:lang w:eastAsia="es-CO"/>
        </w:rPr>
        <w:t> </w:t>
      </w:r>
    </w:p>
    <w:p w:rsidR="00BF29E2" w:rsidRPr="00BF29E2" w:rsidRDefault="00BF29E2" w:rsidP="00BF29E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BF29E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CO"/>
        </w:rPr>
        <w:t>Publicado en D.O. 49.573 del 14 de julio de 2015.</w:t>
      </w:r>
    </w:p>
    <w:p w:rsidR="00BF29E2" w:rsidRPr="00BF29E2" w:rsidRDefault="00BF29E2" w:rsidP="00BF29E2">
      <w:pPr>
        <w:spacing w:after="285" w:line="240" w:lineRule="auto"/>
        <w:jc w:val="both"/>
        <w:rPr>
          <w:rFonts w:ascii="Segoe UI" w:eastAsia="Times New Roman" w:hAnsi="Segoe UI" w:cs="Segoe UI"/>
          <w:color w:val="000000"/>
          <w:sz w:val="22"/>
          <w:lang w:eastAsia="es-CO"/>
        </w:rPr>
      </w:pPr>
      <w:r w:rsidRPr="00BF29E2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961BFA" w:rsidRDefault="00961BFA" w:rsidP="00BF29E2">
      <w:pPr>
        <w:jc w:val="both"/>
      </w:pPr>
    </w:p>
    <w:sectPr w:rsidR="00961BFA" w:rsidSect="00B94BED">
      <w:pgSz w:w="12242" w:h="18705" w:code="120"/>
      <w:pgMar w:top="1701" w:right="1701" w:bottom="1701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E2"/>
    <w:rsid w:val="0029351E"/>
    <w:rsid w:val="00961BFA"/>
    <w:rsid w:val="00B94BED"/>
    <w:rsid w:val="00BF29E2"/>
    <w:rsid w:val="00E3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A5F3CE9B-0FEC-4060-A0E7-AD3A643D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a.org.co/html/vista_de_un_articulo.asp?Norma=59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eta.org.co/html/vista_de_un_articulo.asp?Norma=74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ta.org.co/html/vista_de_un_articulo.asp?Norma=740" TargetMode="External"/><Relationship Id="rId11" Type="http://schemas.openxmlformats.org/officeDocument/2006/relationships/hyperlink" Target="http://www.ceta.org.co/html/vista_de_un_articulo.asp?Norma=56" TargetMode="External"/><Relationship Id="rId5" Type="http://schemas.openxmlformats.org/officeDocument/2006/relationships/hyperlink" Target="http://www.ceta.org.co/html/vista_de_un_articulo.asp?Norma=740" TargetMode="External"/><Relationship Id="rId10" Type="http://schemas.openxmlformats.org/officeDocument/2006/relationships/hyperlink" Target="http://www.ceta.org.co/html/vista_de_un_articulo.asp?Norma=740" TargetMode="External"/><Relationship Id="rId4" Type="http://schemas.openxmlformats.org/officeDocument/2006/relationships/hyperlink" Target="http://www.ceta.org.co/html/vista_de_un_articulo.asp?Norma=56" TargetMode="External"/><Relationship Id="rId9" Type="http://schemas.openxmlformats.org/officeDocument/2006/relationships/hyperlink" Target="http://www.ceta.org.co/html/vista_de_un_articulo.asp?Norma=6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NACIONAL DE ESTUDIOS TRIBUTARIOS DE COLOMBIA CNETCO</dc:creator>
  <cp:keywords/>
  <dc:description/>
  <cp:lastModifiedBy>CENTRO NACIONAL DE ESTUDIOS TRIBUTARIOS DE COLOMBIA CNETCO</cp:lastModifiedBy>
  <cp:revision>1</cp:revision>
  <dcterms:created xsi:type="dcterms:W3CDTF">2015-08-23T15:12:00Z</dcterms:created>
  <dcterms:modified xsi:type="dcterms:W3CDTF">2015-08-23T15:13:00Z</dcterms:modified>
</cp:coreProperties>
</file>