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C0A" w:rsidRDefault="00B15C0A" w:rsidP="0084055D">
      <w:pPr>
        <w:spacing w:after="0" w:line="360" w:lineRule="auto"/>
        <w:jc w:val="both"/>
        <w:rPr>
          <w:rFonts w:eastAsia="Times New Roman" w:cs="Times New Roman"/>
          <w:szCs w:val="24"/>
          <w:lang w:eastAsia="es-CO"/>
        </w:rPr>
      </w:pPr>
    </w:p>
    <w:p w:rsidR="00B15C0A" w:rsidRDefault="00B15C0A" w:rsidP="0084055D">
      <w:pPr>
        <w:spacing w:after="0" w:line="360" w:lineRule="auto"/>
        <w:jc w:val="both"/>
        <w:rPr>
          <w:rFonts w:eastAsia="Times New Roman" w:cs="Times New Roman"/>
          <w:szCs w:val="24"/>
          <w:lang w:eastAsia="es-CO"/>
        </w:rPr>
      </w:pPr>
    </w:p>
    <w:p w:rsidR="00B15C0A" w:rsidRPr="00951229" w:rsidRDefault="00CE40D4" w:rsidP="00CE40D4">
      <w:pPr>
        <w:spacing w:after="0" w:line="360" w:lineRule="auto"/>
        <w:jc w:val="center"/>
        <w:rPr>
          <w:rFonts w:eastAsia="Times New Roman" w:cs="Times New Roman"/>
          <w:b/>
          <w:szCs w:val="24"/>
          <w:lang w:eastAsia="es-CO"/>
        </w:rPr>
      </w:pPr>
      <w:r>
        <w:rPr>
          <w:rFonts w:eastAsia="Times New Roman" w:cs="Times New Roman"/>
          <w:b/>
          <w:szCs w:val="24"/>
          <w:lang w:eastAsia="es-CO"/>
        </w:rPr>
        <w:t>ANTECEDENTES DE LOS APORTES AL SISTEMA INTEGRAL DE SEGURIDAD SOCIAL POR PARTE DE LOS TRABAJADORES INDEPENDIENTES.</w:t>
      </w:r>
    </w:p>
    <w:p w:rsidR="001A638C" w:rsidRDefault="001A638C" w:rsidP="0084055D">
      <w:pPr>
        <w:spacing w:after="0" w:line="360" w:lineRule="auto"/>
        <w:jc w:val="both"/>
        <w:rPr>
          <w:rFonts w:eastAsia="Times New Roman" w:cs="Times New Roman"/>
          <w:szCs w:val="24"/>
          <w:lang w:eastAsia="es-CO"/>
        </w:rPr>
      </w:pPr>
    </w:p>
    <w:p w:rsidR="001A638C" w:rsidRDefault="001A638C" w:rsidP="0084055D">
      <w:pPr>
        <w:spacing w:after="0" w:line="360" w:lineRule="auto"/>
        <w:jc w:val="both"/>
        <w:rPr>
          <w:rFonts w:eastAsia="Times New Roman" w:cs="Times New Roman"/>
          <w:szCs w:val="24"/>
          <w:lang w:eastAsia="es-CO"/>
        </w:rPr>
      </w:pPr>
    </w:p>
    <w:p w:rsidR="00787F5E" w:rsidRDefault="00787F5E" w:rsidP="0084055D">
      <w:pPr>
        <w:spacing w:after="0" w:line="360" w:lineRule="auto"/>
        <w:jc w:val="both"/>
        <w:rPr>
          <w:rFonts w:eastAsia="Times New Roman" w:cs="Times New Roman"/>
          <w:szCs w:val="24"/>
          <w:lang w:eastAsia="es-CO"/>
        </w:rPr>
      </w:pPr>
      <w:r>
        <w:rPr>
          <w:rFonts w:eastAsia="Times New Roman" w:cs="Times New Roman"/>
          <w:szCs w:val="24"/>
          <w:lang w:eastAsia="es-CO"/>
        </w:rPr>
        <w:t>Con motivo de la expedición de la ley 1</w:t>
      </w:r>
      <w:r w:rsidR="00951229">
        <w:rPr>
          <w:rFonts w:eastAsia="Times New Roman" w:cs="Times New Roman"/>
          <w:szCs w:val="24"/>
          <w:lang w:eastAsia="es-CO"/>
        </w:rPr>
        <w:t>393 de julio de 2010, se establecieron controles a la evasión y elusión de cotizaciones y aportes al sistema</w:t>
      </w:r>
      <w:r w:rsidR="00B35CFC">
        <w:rPr>
          <w:rFonts w:eastAsia="Times New Roman" w:cs="Times New Roman"/>
          <w:szCs w:val="24"/>
          <w:lang w:eastAsia="es-CO"/>
        </w:rPr>
        <w:t xml:space="preserve"> integral </w:t>
      </w:r>
      <w:r w:rsidR="00951229">
        <w:rPr>
          <w:rFonts w:eastAsia="Times New Roman" w:cs="Times New Roman"/>
          <w:szCs w:val="24"/>
          <w:lang w:eastAsia="es-CO"/>
        </w:rPr>
        <w:t xml:space="preserve"> de protección social en el caso de la celebración de contratos de prestación de </w:t>
      </w:r>
      <w:r w:rsidR="00B35CFC">
        <w:rPr>
          <w:rFonts w:eastAsia="Times New Roman" w:cs="Times New Roman"/>
          <w:szCs w:val="24"/>
          <w:lang w:eastAsia="es-CO"/>
        </w:rPr>
        <w:t>servicios, quedando condiciona</w:t>
      </w:r>
      <w:r w:rsidR="001C6DF4">
        <w:rPr>
          <w:rFonts w:eastAsia="Times New Roman" w:cs="Times New Roman"/>
          <w:szCs w:val="24"/>
          <w:lang w:eastAsia="es-CO"/>
        </w:rPr>
        <w:t>do el pago por estos conceptos,</w:t>
      </w:r>
      <w:r w:rsidR="00951229">
        <w:rPr>
          <w:rFonts w:eastAsia="Times New Roman" w:cs="Times New Roman"/>
          <w:szCs w:val="24"/>
          <w:lang w:eastAsia="es-CO"/>
        </w:rPr>
        <w:t xml:space="preserve"> a la verificación por parte del contratante de la afiliación </w:t>
      </w:r>
      <w:r w:rsidR="00966F74">
        <w:rPr>
          <w:rFonts w:eastAsia="Times New Roman" w:cs="Times New Roman"/>
          <w:szCs w:val="24"/>
          <w:lang w:eastAsia="es-CO"/>
        </w:rPr>
        <w:t>y pago de dichos aportes</w:t>
      </w:r>
      <w:r w:rsidR="00AA1371">
        <w:rPr>
          <w:rFonts w:eastAsia="Times New Roman" w:cs="Times New Roman"/>
          <w:szCs w:val="24"/>
          <w:lang w:eastAsia="es-CO"/>
        </w:rPr>
        <w:t xml:space="preserve">, de acuerdo con el reglamento que expida el gobierno nacional. (Artículos 26 y 27 ley 1393 de 2010). </w:t>
      </w:r>
    </w:p>
    <w:p w:rsidR="00AA1371" w:rsidRDefault="00AA1371" w:rsidP="0084055D">
      <w:pPr>
        <w:spacing w:after="0" w:line="360" w:lineRule="auto"/>
        <w:jc w:val="both"/>
        <w:rPr>
          <w:rFonts w:eastAsia="Times New Roman" w:cs="Times New Roman"/>
          <w:szCs w:val="24"/>
          <w:lang w:eastAsia="es-CO"/>
        </w:rPr>
      </w:pPr>
    </w:p>
    <w:p w:rsidR="00CE40D4" w:rsidRDefault="00951229" w:rsidP="0084055D">
      <w:pPr>
        <w:spacing w:after="0" w:line="360" w:lineRule="auto"/>
        <w:jc w:val="both"/>
        <w:rPr>
          <w:rFonts w:eastAsia="Times New Roman"/>
          <w:szCs w:val="24"/>
          <w:lang w:eastAsia="es-CO"/>
        </w:rPr>
      </w:pPr>
      <w:r>
        <w:rPr>
          <w:rFonts w:eastAsia="Times New Roman"/>
          <w:szCs w:val="24"/>
          <w:lang w:eastAsia="es-CO"/>
        </w:rPr>
        <w:t>De igual manera el artículo</w:t>
      </w:r>
      <w:r w:rsidR="00AA1371">
        <w:rPr>
          <w:rFonts w:eastAsia="Times New Roman"/>
          <w:szCs w:val="24"/>
          <w:lang w:eastAsia="es-CO"/>
        </w:rPr>
        <w:t xml:space="preserve"> 27 </w:t>
      </w:r>
      <w:r w:rsidR="00CE40D4">
        <w:rPr>
          <w:rFonts w:eastAsia="Times New Roman"/>
          <w:szCs w:val="24"/>
          <w:lang w:eastAsia="es-CO"/>
        </w:rPr>
        <w:t xml:space="preserve"> de la precitada ley, </w:t>
      </w:r>
      <w:r>
        <w:rPr>
          <w:rFonts w:eastAsia="Times New Roman"/>
          <w:szCs w:val="24"/>
          <w:lang w:eastAsia="es-CO"/>
        </w:rPr>
        <w:t xml:space="preserve"> establece en la parte final que: </w:t>
      </w:r>
    </w:p>
    <w:p w:rsidR="00CE40D4" w:rsidRDefault="00CE40D4" w:rsidP="0084055D">
      <w:pPr>
        <w:spacing w:after="0" w:line="360" w:lineRule="auto"/>
        <w:jc w:val="both"/>
        <w:rPr>
          <w:rFonts w:eastAsia="Times New Roman"/>
          <w:szCs w:val="24"/>
          <w:lang w:eastAsia="es-CO"/>
        </w:rPr>
      </w:pPr>
    </w:p>
    <w:p w:rsidR="00951229" w:rsidRPr="00AA1371" w:rsidRDefault="00951229" w:rsidP="00CE40D4">
      <w:pPr>
        <w:spacing w:after="0" w:line="360" w:lineRule="auto"/>
        <w:ind w:left="567" w:right="567"/>
        <w:jc w:val="both"/>
        <w:rPr>
          <w:rFonts w:eastAsia="Times New Roman"/>
          <w:b/>
          <w:i/>
          <w:szCs w:val="24"/>
          <w:lang w:eastAsia="es-CO"/>
        </w:rPr>
      </w:pPr>
      <w:r w:rsidRPr="00AA1371">
        <w:rPr>
          <w:rFonts w:eastAsia="Times New Roman"/>
          <w:b/>
          <w:i/>
          <w:szCs w:val="24"/>
          <w:lang w:eastAsia="es-CO"/>
        </w:rPr>
        <w:t>“Lo anterior aplicará igualmente para el cumplimiento de la obligación de retener cuando ésta proceda”.</w:t>
      </w:r>
    </w:p>
    <w:p w:rsidR="00951229" w:rsidRDefault="00951229" w:rsidP="0084055D">
      <w:pPr>
        <w:spacing w:after="0" w:line="360" w:lineRule="auto"/>
        <w:jc w:val="both"/>
        <w:rPr>
          <w:rFonts w:eastAsia="Times New Roman"/>
          <w:i/>
          <w:szCs w:val="24"/>
          <w:lang w:eastAsia="es-CO"/>
        </w:rPr>
      </w:pPr>
    </w:p>
    <w:p w:rsidR="00951229" w:rsidRDefault="00FD2B54" w:rsidP="0084055D">
      <w:pPr>
        <w:spacing w:after="0" w:line="360" w:lineRule="auto"/>
        <w:jc w:val="both"/>
        <w:rPr>
          <w:rFonts w:eastAsia="Times New Roman" w:cs="Times New Roman"/>
          <w:szCs w:val="24"/>
          <w:lang w:eastAsia="es-CO"/>
        </w:rPr>
      </w:pPr>
      <w:r>
        <w:rPr>
          <w:rFonts w:eastAsia="Times New Roman" w:cs="Times New Roman"/>
          <w:szCs w:val="24"/>
          <w:lang w:eastAsia="es-CO"/>
        </w:rPr>
        <w:t xml:space="preserve">En ambos artículos se señaló que dichos pagos y verificaciones se harían conforme a la reglamentación que para tal efecto expida el gobierno nacional. </w:t>
      </w:r>
    </w:p>
    <w:p w:rsidR="00FD2B54" w:rsidRDefault="00FD2B54" w:rsidP="0084055D">
      <w:pPr>
        <w:spacing w:after="0" w:line="360" w:lineRule="auto"/>
        <w:jc w:val="both"/>
        <w:rPr>
          <w:rFonts w:eastAsia="Times New Roman" w:cs="Times New Roman"/>
          <w:szCs w:val="24"/>
          <w:lang w:eastAsia="es-CO"/>
        </w:rPr>
      </w:pPr>
    </w:p>
    <w:p w:rsidR="00FD2B54" w:rsidRDefault="00FD2B54" w:rsidP="0084055D">
      <w:pPr>
        <w:spacing w:after="0" w:line="360" w:lineRule="auto"/>
        <w:jc w:val="both"/>
        <w:rPr>
          <w:rFonts w:eastAsia="Times New Roman" w:cs="Times New Roman"/>
          <w:szCs w:val="24"/>
          <w:lang w:eastAsia="es-CO"/>
        </w:rPr>
      </w:pPr>
      <w:r>
        <w:rPr>
          <w:rFonts w:eastAsia="Times New Roman" w:cs="Times New Roman"/>
          <w:szCs w:val="24"/>
          <w:lang w:eastAsia="es-CO"/>
        </w:rPr>
        <w:t xml:space="preserve">Atendiendo a la redacción de dichos artículos, entendimos que una vez fueran reglamentados por el gobierno nacional, se haría necesario entonces por parte del contratista la verificación de dichos aportes, para efectos de que el pago se aceptara tributariamente. </w:t>
      </w:r>
    </w:p>
    <w:p w:rsidR="00FD2B54" w:rsidRDefault="00FD2B54" w:rsidP="0084055D">
      <w:pPr>
        <w:spacing w:after="0" w:line="360" w:lineRule="auto"/>
        <w:jc w:val="both"/>
        <w:rPr>
          <w:rFonts w:eastAsia="Times New Roman" w:cs="Times New Roman"/>
          <w:szCs w:val="24"/>
          <w:lang w:eastAsia="es-CO"/>
        </w:rPr>
      </w:pPr>
    </w:p>
    <w:p w:rsidR="001A638C" w:rsidRPr="00951229" w:rsidRDefault="00FD2B54" w:rsidP="0084055D">
      <w:pPr>
        <w:spacing w:after="0" w:line="360" w:lineRule="auto"/>
        <w:jc w:val="both"/>
        <w:rPr>
          <w:rFonts w:eastAsia="Times New Roman" w:cs="Times New Roman"/>
          <w:i/>
          <w:szCs w:val="24"/>
          <w:lang w:eastAsia="es-CO"/>
        </w:rPr>
      </w:pPr>
      <w:r>
        <w:rPr>
          <w:rFonts w:eastAsia="Times New Roman" w:cs="Times New Roman"/>
          <w:szCs w:val="24"/>
          <w:lang w:eastAsia="es-CO"/>
        </w:rPr>
        <w:t>Sin embargo, con la expedición del decreto 1070 el día 28 de mayo de 2013, el panorama cambio,</w:t>
      </w:r>
      <w:r w:rsidR="00AA1371">
        <w:rPr>
          <w:rFonts w:eastAsia="Times New Roman" w:cs="Times New Roman"/>
          <w:szCs w:val="24"/>
          <w:lang w:eastAsia="es-CO"/>
        </w:rPr>
        <w:t xml:space="preserve"> puesto que </w:t>
      </w:r>
      <w:r>
        <w:rPr>
          <w:rFonts w:eastAsia="Times New Roman" w:cs="Times New Roman"/>
          <w:szCs w:val="24"/>
          <w:lang w:eastAsia="es-CO"/>
        </w:rPr>
        <w:t xml:space="preserve"> el artículo 3º </w:t>
      </w:r>
      <w:r w:rsidR="002D1214">
        <w:rPr>
          <w:rFonts w:eastAsia="Times New Roman" w:cs="Times New Roman"/>
          <w:szCs w:val="24"/>
          <w:lang w:eastAsia="es-CO"/>
        </w:rPr>
        <w:t xml:space="preserve">(modificado por el artículo 9º del decreto 3032 de 2013)  </w:t>
      </w:r>
      <w:r>
        <w:rPr>
          <w:rFonts w:eastAsia="Times New Roman" w:cs="Times New Roman"/>
          <w:szCs w:val="24"/>
          <w:lang w:eastAsia="es-CO"/>
        </w:rPr>
        <w:t xml:space="preserve"> </w:t>
      </w:r>
      <w:r w:rsidR="006734DA">
        <w:rPr>
          <w:rFonts w:eastAsia="Times New Roman" w:cs="Times New Roman"/>
          <w:szCs w:val="24"/>
          <w:lang w:eastAsia="es-CO"/>
        </w:rPr>
        <w:t xml:space="preserve">estableció que:  </w:t>
      </w:r>
    </w:p>
    <w:p w:rsidR="006734DA" w:rsidRDefault="006734DA" w:rsidP="0084055D">
      <w:pPr>
        <w:adjustRightInd w:val="0"/>
        <w:spacing w:after="0" w:line="360" w:lineRule="auto"/>
        <w:ind w:left="284"/>
        <w:jc w:val="both"/>
        <w:rPr>
          <w:rFonts w:eastAsia="Times New Roman" w:cs="Times New Roman"/>
          <w:szCs w:val="24"/>
          <w:lang w:eastAsia="es-CO"/>
        </w:rPr>
      </w:pPr>
    </w:p>
    <w:p w:rsidR="00951229" w:rsidRDefault="006734DA" w:rsidP="0084055D">
      <w:pPr>
        <w:adjustRightInd w:val="0"/>
        <w:spacing w:after="0" w:line="360" w:lineRule="auto"/>
        <w:ind w:left="284"/>
        <w:jc w:val="both"/>
        <w:rPr>
          <w:rFonts w:eastAsia="Times New Roman" w:cs="Times New Roman"/>
          <w:b/>
          <w:i/>
          <w:szCs w:val="24"/>
          <w:lang w:eastAsia="es-CO"/>
        </w:rPr>
      </w:pPr>
      <w:r w:rsidRPr="006734DA">
        <w:rPr>
          <w:rFonts w:eastAsia="Times New Roman" w:cs="Times New Roman"/>
          <w:i/>
          <w:szCs w:val="24"/>
          <w:lang w:eastAsia="es-CO"/>
        </w:rPr>
        <w:lastRenderedPageBreak/>
        <w:t xml:space="preserve">“Para la procedencia de la deducción en el impuesto sobre la renta de los pagos realizados a las personas mencionadas en el inciso anterior por concepto de contratos de prestación de servicios, </w:t>
      </w:r>
      <w:r w:rsidRPr="006734DA">
        <w:rPr>
          <w:rFonts w:eastAsia="Times New Roman" w:cs="Times New Roman"/>
          <w:b/>
          <w:i/>
          <w:szCs w:val="24"/>
          <w:lang w:eastAsia="es-CO"/>
        </w:rPr>
        <w:t>el contratante deberá verificar que los aportes al Sistema General de Seguridad Social estén realizados de acuerdo con los ingresos obtenidos en el contrato respectivo, en los términos del artículo 18 de la Ley 1122 de 2007, los Decretos números 1703 de 2002 y 510 de 2003, las demás normas vigentes sobre la materia, así como aquellas disposiciones que las adicionen, modifiquen o sustituyan”</w:t>
      </w:r>
    </w:p>
    <w:p w:rsidR="006734DA" w:rsidRDefault="006734DA" w:rsidP="0084055D">
      <w:pPr>
        <w:adjustRightInd w:val="0"/>
        <w:spacing w:after="0" w:line="360" w:lineRule="auto"/>
        <w:ind w:left="284"/>
        <w:jc w:val="both"/>
        <w:rPr>
          <w:rFonts w:eastAsia="Times New Roman" w:cs="Times New Roman"/>
          <w:i/>
          <w:szCs w:val="24"/>
          <w:lang w:eastAsia="es-CO"/>
        </w:rPr>
      </w:pPr>
    </w:p>
    <w:p w:rsidR="006734DA" w:rsidRPr="006734DA" w:rsidRDefault="006734DA" w:rsidP="0084055D">
      <w:pPr>
        <w:adjustRightInd w:val="0"/>
        <w:spacing w:after="0" w:line="360" w:lineRule="auto"/>
        <w:ind w:left="284"/>
        <w:jc w:val="both"/>
        <w:rPr>
          <w:rFonts w:eastAsia="Times New Roman" w:cs="Times New Roman"/>
          <w:b/>
          <w:i/>
          <w:szCs w:val="24"/>
          <w:lang w:eastAsia="es-CO"/>
        </w:rPr>
      </w:pPr>
      <w:r>
        <w:rPr>
          <w:rFonts w:eastAsia="Times New Roman" w:cs="Times New Roman"/>
          <w:i/>
          <w:szCs w:val="24"/>
          <w:lang w:eastAsia="es-CO"/>
        </w:rPr>
        <w:t xml:space="preserve">/La negrilla fuera de texto/. </w:t>
      </w:r>
    </w:p>
    <w:p w:rsidR="00951229" w:rsidRDefault="00951229" w:rsidP="0084055D">
      <w:pPr>
        <w:spacing w:after="0" w:line="360" w:lineRule="auto"/>
        <w:jc w:val="both"/>
        <w:rPr>
          <w:rFonts w:eastAsia="Times New Roman" w:cs="Times New Roman"/>
          <w:szCs w:val="24"/>
          <w:lang w:eastAsia="es-CO"/>
        </w:rPr>
      </w:pPr>
    </w:p>
    <w:p w:rsidR="00776EA5" w:rsidRDefault="006734DA" w:rsidP="0084055D">
      <w:pPr>
        <w:adjustRightInd w:val="0"/>
        <w:spacing w:line="360" w:lineRule="auto"/>
        <w:jc w:val="both"/>
        <w:rPr>
          <w:rFonts w:eastAsia="Times New Roman" w:cs="Times New Roman"/>
          <w:szCs w:val="24"/>
          <w:lang w:eastAsia="es-CO"/>
        </w:rPr>
      </w:pPr>
      <w:r w:rsidRPr="006734DA">
        <w:rPr>
          <w:rFonts w:eastAsia="Times New Roman" w:cs="Times New Roman"/>
          <w:szCs w:val="24"/>
          <w:lang w:eastAsia="es-CO"/>
        </w:rPr>
        <w:t xml:space="preserve">Y digo que el panorama cambió, por cuanto </w:t>
      </w:r>
      <w:r>
        <w:rPr>
          <w:rFonts w:eastAsia="Times New Roman" w:cs="Times New Roman"/>
          <w:szCs w:val="24"/>
          <w:lang w:eastAsia="es-CO"/>
        </w:rPr>
        <w:t>a partir de la expedición de dicha norma, la Dian a través de diferentes con</w:t>
      </w:r>
      <w:r w:rsidR="00776EA5">
        <w:rPr>
          <w:rFonts w:eastAsia="Times New Roman" w:cs="Times New Roman"/>
          <w:szCs w:val="24"/>
          <w:lang w:eastAsia="es-CO"/>
        </w:rPr>
        <w:t>ceptos, ha interpretado lo señalado en el precitado artículo</w:t>
      </w:r>
      <w:r w:rsidR="00BA7883">
        <w:rPr>
          <w:rFonts w:eastAsia="Times New Roman" w:cs="Times New Roman"/>
          <w:szCs w:val="24"/>
          <w:lang w:eastAsia="es-CO"/>
        </w:rPr>
        <w:t xml:space="preserve">, manifestando </w:t>
      </w:r>
      <w:r w:rsidR="00776EA5">
        <w:rPr>
          <w:rFonts w:eastAsia="Times New Roman" w:cs="Times New Roman"/>
          <w:szCs w:val="24"/>
          <w:lang w:eastAsia="es-CO"/>
        </w:rPr>
        <w:t xml:space="preserve">que con la expedición </w:t>
      </w:r>
      <w:r w:rsidR="00AA1371">
        <w:rPr>
          <w:rFonts w:eastAsia="Times New Roman" w:cs="Times New Roman"/>
          <w:szCs w:val="24"/>
          <w:lang w:eastAsia="es-CO"/>
        </w:rPr>
        <w:t>del mismo,</w:t>
      </w:r>
      <w:r w:rsidR="00776EA5">
        <w:rPr>
          <w:rFonts w:eastAsia="Times New Roman" w:cs="Times New Roman"/>
          <w:szCs w:val="24"/>
          <w:lang w:eastAsia="es-CO"/>
        </w:rPr>
        <w:t xml:space="preserve"> se reglamentó para efectos tributarios la exigencia del pago por parte de los trabajadores independientes de los aportes a la seguridad social para que sean aceptados como deducción en el im</w:t>
      </w:r>
      <w:r w:rsidR="00BA7883">
        <w:rPr>
          <w:rFonts w:eastAsia="Times New Roman" w:cs="Times New Roman"/>
          <w:szCs w:val="24"/>
          <w:lang w:eastAsia="es-CO"/>
        </w:rPr>
        <w:t>puesto sobre la renta.</w:t>
      </w:r>
      <w:r w:rsidR="00776EA5">
        <w:rPr>
          <w:rFonts w:eastAsia="Times New Roman" w:cs="Times New Roman"/>
          <w:szCs w:val="24"/>
          <w:lang w:eastAsia="es-CO"/>
        </w:rPr>
        <w:t xml:space="preserve"> </w:t>
      </w:r>
    </w:p>
    <w:p w:rsidR="003A0E54" w:rsidRDefault="003A0E54" w:rsidP="0084055D">
      <w:pPr>
        <w:adjustRightInd w:val="0"/>
        <w:spacing w:line="360" w:lineRule="auto"/>
        <w:jc w:val="both"/>
        <w:rPr>
          <w:rFonts w:eastAsia="Times New Roman" w:cs="Times New Roman"/>
          <w:szCs w:val="24"/>
          <w:lang w:eastAsia="es-CO"/>
        </w:rPr>
      </w:pPr>
      <w:r>
        <w:rPr>
          <w:rFonts w:eastAsia="Times New Roman" w:cs="Times New Roman"/>
          <w:szCs w:val="24"/>
          <w:lang w:eastAsia="es-CO"/>
        </w:rPr>
        <w:t>Tal como puede observarse</w:t>
      </w:r>
      <w:r w:rsidR="00CE40D4">
        <w:rPr>
          <w:rFonts w:eastAsia="Times New Roman" w:cs="Times New Roman"/>
          <w:szCs w:val="24"/>
          <w:lang w:eastAsia="es-CO"/>
        </w:rPr>
        <w:t>,</w:t>
      </w:r>
      <w:r>
        <w:rPr>
          <w:rFonts w:eastAsia="Times New Roman" w:cs="Times New Roman"/>
          <w:szCs w:val="24"/>
          <w:lang w:eastAsia="es-CO"/>
        </w:rPr>
        <w:t xml:space="preserve"> la segunda parte del artículo 3º del decreto 1070 de 2013 en lo referente a contratos de prestación </w:t>
      </w:r>
      <w:r w:rsidR="00BA7883">
        <w:rPr>
          <w:rFonts w:eastAsia="Times New Roman" w:cs="Times New Roman"/>
          <w:szCs w:val="24"/>
          <w:lang w:eastAsia="es-CO"/>
        </w:rPr>
        <w:t>de servicios,  menciona</w:t>
      </w:r>
      <w:r>
        <w:rPr>
          <w:rFonts w:eastAsia="Times New Roman" w:cs="Times New Roman"/>
          <w:szCs w:val="24"/>
          <w:lang w:eastAsia="es-CO"/>
        </w:rPr>
        <w:t xml:space="preserve"> como normas concordantes el artículo 18 de la ley 1122 de 2007 (el cual establece una base de: “ hasta el 40% del valor del contrato” sobre la cual deben efectuarse los aportes a salud y por ende a pensión), y además el decreto 1703 de 2002, el cual en su artículo 23 establece igualmente la base del 40% para efectos del pago de dichos aportes. </w:t>
      </w:r>
    </w:p>
    <w:p w:rsidR="00AA1371" w:rsidRDefault="00B4750E" w:rsidP="0084055D">
      <w:pPr>
        <w:adjustRightInd w:val="0"/>
        <w:spacing w:line="360" w:lineRule="auto"/>
        <w:jc w:val="both"/>
        <w:rPr>
          <w:rFonts w:eastAsia="Times New Roman" w:cs="Times New Roman"/>
          <w:szCs w:val="24"/>
          <w:lang w:eastAsia="es-CO"/>
        </w:rPr>
      </w:pPr>
      <w:r>
        <w:rPr>
          <w:rFonts w:eastAsia="Times New Roman" w:cs="Times New Roman"/>
          <w:szCs w:val="24"/>
          <w:lang w:eastAsia="es-CO"/>
        </w:rPr>
        <w:t xml:space="preserve">Es conveniente anotar que la ley 1122 de 2007 contempla una base para efectos de aportes en el caso de contratos de prestación de servicios de “hasta un 40%), en los mismos términos que la contempla el artículo 23 del decreto 1703 de 2002. En cuanto a la vigencia de las normas que regulan la materia antes de la expedición de la ley 1122 de 2007 el Honorable Consejo de Estado en el concepto No. 1732 de 2007 señala que dichas normas han perdido vigencia, y que para efectos de la base que se debe tomar en el caso de contratos de prestación de servicios debemos partir de la vigencia de dicha ley. </w:t>
      </w:r>
    </w:p>
    <w:p w:rsidR="00B4750E" w:rsidRDefault="00B4750E" w:rsidP="0084055D">
      <w:pPr>
        <w:adjustRightInd w:val="0"/>
        <w:spacing w:line="360" w:lineRule="auto"/>
        <w:jc w:val="both"/>
        <w:rPr>
          <w:rFonts w:eastAsia="Times New Roman" w:cs="Times New Roman"/>
          <w:szCs w:val="24"/>
          <w:lang w:eastAsia="es-CO"/>
        </w:rPr>
      </w:pPr>
      <w:r>
        <w:rPr>
          <w:rFonts w:eastAsia="Times New Roman" w:cs="Times New Roman"/>
          <w:szCs w:val="24"/>
          <w:lang w:eastAsia="es-CO"/>
        </w:rPr>
        <w:lastRenderedPageBreak/>
        <w:t>Sin embargo, la Dian en respuesta a varias preguntas sobre el tema de aportes por parte de los independientes, manifestó que para dicha entidad el  decreto 1703 de 2002 está vigente y que en ese sentido, la exigencia de la demostración del pago de aportes por parte de aquellos se da en los casos en que el contrato tenga una duración superior a tres meses (</w:t>
      </w:r>
      <w:r w:rsidR="003D36A8">
        <w:rPr>
          <w:rFonts w:eastAsia="Times New Roman" w:cs="Times New Roman"/>
          <w:szCs w:val="24"/>
          <w:lang w:eastAsia="es-CO"/>
        </w:rPr>
        <w:t xml:space="preserve">Ver concepto Dian No. 72394 de Nov. 13 de 2013; Respuesta 2.1 en concepto Dian No. 052431 de agosto 27 de 2014 y Oficio Dian No. 066352 de diciembre 15 de 2014). </w:t>
      </w:r>
    </w:p>
    <w:p w:rsidR="00BA7883" w:rsidRDefault="00BA7883" w:rsidP="0084055D">
      <w:pPr>
        <w:adjustRightInd w:val="0"/>
        <w:spacing w:line="360" w:lineRule="auto"/>
        <w:jc w:val="both"/>
        <w:rPr>
          <w:rFonts w:eastAsia="Times New Roman" w:cs="Times New Roman"/>
          <w:szCs w:val="24"/>
          <w:lang w:eastAsia="es-CO"/>
        </w:rPr>
      </w:pPr>
      <w:r>
        <w:rPr>
          <w:rFonts w:eastAsia="Times New Roman" w:cs="Times New Roman"/>
          <w:szCs w:val="24"/>
          <w:lang w:eastAsia="es-CO"/>
        </w:rPr>
        <w:t xml:space="preserve">Con el fin de establecer si la Dian tenía razón en cuanto a si con la expedición del artículo 3º del decreto 1070 de 2013, se habían reglamentado los artículos 26 y 27 supra de la ley 1393 de 2010, se dirigió un derecho de petición al Ministerio de Salud y Protección Social en el mes de Julio de 2013, el cual ante la demora en su respuesta fue necesaria la interposición de una tutela, el cual a través del concepto No. </w:t>
      </w:r>
      <w:r w:rsidR="009B0C72">
        <w:rPr>
          <w:rFonts w:eastAsia="Times New Roman" w:cs="Times New Roman"/>
          <w:szCs w:val="24"/>
          <w:lang w:eastAsia="es-CO"/>
        </w:rPr>
        <w:t xml:space="preserve">“201311201602401” del 26  de noviembre de 2013, expresó que ante las dificultades del tema, desde el mes de agosto de 2013, se </w:t>
      </w:r>
      <w:r w:rsidR="00856FFE">
        <w:rPr>
          <w:rFonts w:eastAsia="Times New Roman" w:cs="Times New Roman"/>
          <w:szCs w:val="24"/>
          <w:lang w:eastAsia="es-CO"/>
        </w:rPr>
        <w:t>venían</w:t>
      </w:r>
      <w:r w:rsidR="009B0C72">
        <w:rPr>
          <w:rFonts w:eastAsia="Times New Roman" w:cs="Times New Roman"/>
          <w:szCs w:val="24"/>
          <w:lang w:eastAsia="es-CO"/>
        </w:rPr>
        <w:t xml:space="preserve"> adelantando mesas de trabajo entre ese Ministerio, conjuntamente con los de Hacienda, Trabajo y la UGPP, con el fin de reglamentar lo señalado en el artículo 18 de la ley 1122 de 2007 en lo relativo a la determinación de la base de cotización de los contratistas</w:t>
      </w:r>
      <w:r w:rsidR="00856FFE">
        <w:rPr>
          <w:rFonts w:eastAsia="Times New Roman" w:cs="Times New Roman"/>
          <w:szCs w:val="24"/>
          <w:lang w:eastAsia="es-CO"/>
        </w:rPr>
        <w:t xml:space="preserve">. </w:t>
      </w:r>
    </w:p>
    <w:p w:rsidR="00856FFE" w:rsidRDefault="00856FFE" w:rsidP="0084055D">
      <w:pPr>
        <w:adjustRightInd w:val="0"/>
        <w:spacing w:line="360" w:lineRule="auto"/>
        <w:jc w:val="both"/>
        <w:rPr>
          <w:rFonts w:eastAsia="Times New Roman" w:cs="Times New Roman"/>
          <w:szCs w:val="24"/>
          <w:lang w:eastAsia="es-CO"/>
        </w:rPr>
      </w:pPr>
      <w:r>
        <w:rPr>
          <w:rFonts w:eastAsia="Times New Roman" w:cs="Times New Roman"/>
          <w:szCs w:val="24"/>
          <w:lang w:eastAsia="es-CO"/>
        </w:rPr>
        <w:t xml:space="preserve">Luego con fecha 27 de julio de 2014, a través del concepto No. 2014-11201081211 recibí nuevamente </w:t>
      </w:r>
      <w:r w:rsidR="003D36A8">
        <w:rPr>
          <w:rFonts w:eastAsia="Times New Roman" w:cs="Times New Roman"/>
          <w:szCs w:val="24"/>
          <w:lang w:eastAsia="es-CO"/>
        </w:rPr>
        <w:t xml:space="preserve">de parte del Ministerio de Protección Social </w:t>
      </w:r>
      <w:r>
        <w:rPr>
          <w:rFonts w:eastAsia="Times New Roman" w:cs="Times New Roman"/>
          <w:szCs w:val="24"/>
          <w:lang w:eastAsia="es-CO"/>
        </w:rPr>
        <w:t>respuesta a varias preguntas relacionadas  con el tema de aportes al sistema integral de la seguridad social por parte d</w:t>
      </w:r>
      <w:r w:rsidR="003D36A8">
        <w:rPr>
          <w:rFonts w:eastAsia="Times New Roman" w:cs="Times New Roman"/>
          <w:szCs w:val="24"/>
          <w:lang w:eastAsia="es-CO"/>
        </w:rPr>
        <w:t xml:space="preserve">e los trabajadores independientes, reiterando nuevamente </w:t>
      </w:r>
      <w:r>
        <w:rPr>
          <w:rFonts w:eastAsia="Times New Roman" w:cs="Times New Roman"/>
          <w:szCs w:val="24"/>
          <w:lang w:eastAsia="es-CO"/>
        </w:rPr>
        <w:t xml:space="preserve"> que hasta la fecha se continuaba con las mesas de trabajo, encaminadas a reglamentar lo establecido en el artículo 18 de la ley 1122 de 2007 en lo referente a la base de cotización a la seguridad social en la prestación de servicios y en otro tipo de contratos. (Ver respuesta a pregunta No. 13).</w:t>
      </w:r>
    </w:p>
    <w:p w:rsidR="00856FFE" w:rsidRDefault="00765AF7" w:rsidP="0084055D">
      <w:pPr>
        <w:adjustRightInd w:val="0"/>
        <w:spacing w:line="360" w:lineRule="auto"/>
        <w:jc w:val="both"/>
        <w:rPr>
          <w:rFonts w:eastAsia="Times New Roman" w:cs="Times New Roman"/>
          <w:szCs w:val="24"/>
          <w:lang w:eastAsia="es-CO"/>
        </w:rPr>
      </w:pPr>
      <w:r>
        <w:rPr>
          <w:rFonts w:eastAsia="Times New Roman" w:cs="Times New Roman"/>
          <w:szCs w:val="24"/>
          <w:lang w:eastAsia="es-CO"/>
        </w:rPr>
        <w:t xml:space="preserve">En el derecho de petición objeto de respuesta a través del precitado concepto, se preguntó al </w:t>
      </w:r>
      <w:r w:rsidR="00856FFE">
        <w:rPr>
          <w:rFonts w:eastAsia="Times New Roman" w:cs="Times New Roman"/>
          <w:szCs w:val="24"/>
          <w:lang w:eastAsia="es-CO"/>
        </w:rPr>
        <w:t xml:space="preserve">Ministerio de Salud y Protección Social, si el gobierno nacional tenía establecido reglamentar por aparte el tema de los aportes a la seguridad social para el sector rural, a lo cual contestó que no se tenía pensado llevar a </w:t>
      </w:r>
      <w:r>
        <w:rPr>
          <w:rFonts w:eastAsia="Times New Roman" w:cs="Times New Roman"/>
          <w:szCs w:val="24"/>
          <w:lang w:eastAsia="es-CO"/>
        </w:rPr>
        <w:t xml:space="preserve">cabo reglamentación por aparte de la del sector urbano. (Ver respuesta No. 13). </w:t>
      </w:r>
    </w:p>
    <w:p w:rsidR="00765AF7" w:rsidRDefault="00765AF7" w:rsidP="0084055D">
      <w:pPr>
        <w:adjustRightInd w:val="0"/>
        <w:spacing w:line="360" w:lineRule="auto"/>
        <w:jc w:val="both"/>
        <w:rPr>
          <w:rFonts w:eastAsia="Times New Roman" w:cs="Times New Roman"/>
          <w:szCs w:val="24"/>
          <w:lang w:eastAsia="es-CO"/>
        </w:rPr>
      </w:pPr>
      <w:r>
        <w:rPr>
          <w:rFonts w:eastAsia="Times New Roman" w:cs="Times New Roman"/>
          <w:szCs w:val="24"/>
          <w:lang w:eastAsia="es-CO"/>
        </w:rPr>
        <w:lastRenderedPageBreak/>
        <w:t xml:space="preserve">Es conveniente aclarar que el artículo 3º </w:t>
      </w:r>
      <w:r w:rsidR="006D2E17">
        <w:rPr>
          <w:rFonts w:eastAsia="Times New Roman" w:cs="Times New Roman"/>
          <w:szCs w:val="24"/>
          <w:lang w:eastAsia="es-CO"/>
        </w:rPr>
        <w:t xml:space="preserve">del decreto 1070 de 2013, fue adicionado en un parágrafo por parte del artículo 9º del decreto 3032 de diciembre 27 de 2013, para indicar que cuanto la totalidad de los pagos efectuados en el mes fueran inferiores a un salario mínimo legal mensual vigente, no sería obligatorio exigir la presentación de la planilla de aportes al sistema integral de la seguridad social. </w:t>
      </w:r>
    </w:p>
    <w:p w:rsidR="006D2E17" w:rsidRDefault="008432EB" w:rsidP="0084055D">
      <w:pPr>
        <w:adjustRightInd w:val="0"/>
        <w:spacing w:line="360" w:lineRule="auto"/>
        <w:jc w:val="both"/>
        <w:rPr>
          <w:rFonts w:eastAsia="Times New Roman" w:cs="Times New Roman"/>
          <w:szCs w:val="24"/>
          <w:lang w:eastAsia="es-CO"/>
        </w:rPr>
      </w:pPr>
      <w:r>
        <w:rPr>
          <w:rFonts w:eastAsia="Times New Roman" w:cs="Times New Roman"/>
          <w:szCs w:val="24"/>
          <w:lang w:eastAsia="es-CO"/>
        </w:rPr>
        <w:t>Siguiendo con el análisis del tema referente al pago de los aportes al sistema de la seguridad social y por ende a la obligación de quien efectúa los pagos de solicitar la planilla que acredite dicho pago, para efectos de la deducibilidad del pago en el impuesto a la renta, debemos señalar que en</w:t>
      </w:r>
      <w:r w:rsidR="00CE40D4">
        <w:rPr>
          <w:rFonts w:eastAsia="Times New Roman" w:cs="Times New Roman"/>
          <w:szCs w:val="24"/>
          <w:lang w:eastAsia="es-CO"/>
        </w:rPr>
        <w:t xml:space="preserve"> el </w:t>
      </w:r>
      <w:r>
        <w:rPr>
          <w:rFonts w:eastAsia="Times New Roman" w:cs="Times New Roman"/>
          <w:szCs w:val="24"/>
          <w:lang w:eastAsia="es-CO"/>
        </w:rPr>
        <w:t xml:space="preserve"> mes de  agosto del año 2014 el Ministerio de Salud y Protección Social publicó un proyecto de decreto en el cual se establecía un ingreso base de cotización en el caso de contratos de prestación de servicios personales de un 40% del valor mensualizado </w:t>
      </w:r>
      <w:r w:rsidR="00AF51E5">
        <w:rPr>
          <w:rFonts w:eastAsia="Times New Roman" w:cs="Times New Roman"/>
          <w:szCs w:val="24"/>
          <w:lang w:eastAsia="es-CO"/>
        </w:rPr>
        <w:t>del contrato; al valor mensualiz</w:t>
      </w:r>
      <w:r>
        <w:rPr>
          <w:rFonts w:eastAsia="Times New Roman" w:cs="Times New Roman"/>
          <w:szCs w:val="24"/>
          <w:lang w:eastAsia="es-CO"/>
        </w:rPr>
        <w:t xml:space="preserve">ado del ingreso percibido en el caso de rentistas de capital y de la utilidad generada en el negocio en los demás casos para lo cual se daría aplicación a lo establecido en el decreto 3085 de 2007. </w:t>
      </w:r>
    </w:p>
    <w:p w:rsidR="00CE40D4" w:rsidRDefault="008432EB" w:rsidP="0084055D">
      <w:pPr>
        <w:adjustRightInd w:val="0"/>
        <w:spacing w:line="360" w:lineRule="auto"/>
        <w:jc w:val="both"/>
        <w:rPr>
          <w:rFonts w:eastAsia="Times New Roman" w:cs="Times New Roman"/>
          <w:szCs w:val="24"/>
          <w:lang w:eastAsia="es-CO"/>
        </w:rPr>
      </w:pPr>
      <w:r>
        <w:rPr>
          <w:rFonts w:eastAsia="Times New Roman" w:cs="Times New Roman"/>
          <w:szCs w:val="24"/>
          <w:lang w:eastAsia="es-CO"/>
        </w:rPr>
        <w:t xml:space="preserve">En espera de que el decreto fuera promulgado por el gobierno nacional y de una vez por todas fuera aclarado el ingreso base de cotización en el caso de los trabajadores independientes (que para la Dian es del 40%, pero tesis de la cual discrepo, por cuanto según el Minprotecciòn el tema no está reglamentado), nos encontramos con un nuevo proyecto, el cual corresponde a lo señalado en el artículo 127 del Proyecto de Ley: “PLAN DE DESARROLLO 2014-2018), </w:t>
      </w:r>
      <w:r w:rsidR="00AF51E5">
        <w:rPr>
          <w:rFonts w:eastAsia="Times New Roman" w:cs="Times New Roman"/>
          <w:szCs w:val="24"/>
          <w:lang w:eastAsia="es-CO"/>
        </w:rPr>
        <w:t xml:space="preserve">el cual establece una base presuntiva mínima del 40% del total </w:t>
      </w:r>
      <w:proofErr w:type="spellStart"/>
      <w:r w:rsidR="00AF51E5">
        <w:rPr>
          <w:rFonts w:eastAsia="Times New Roman" w:cs="Times New Roman"/>
          <w:szCs w:val="24"/>
          <w:lang w:eastAsia="es-CO"/>
        </w:rPr>
        <w:t>mensualizado</w:t>
      </w:r>
      <w:proofErr w:type="spellEnd"/>
      <w:r w:rsidR="00AF51E5">
        <w:rPr>
          <w:rFonts w:eastAsia="Times New Roman" w:cs="Times New Roman"/>
          <w:szCs w:val="24"/>
          <w:lang w:eastAsia="es-CO"/>
        </w:rPr>
        <w:t xml:space="preserve"> del ingreso, </w:t>
      </w:r>
      <w:r w:rsidR="00CE40D4">
        <w:rPr>
          <w:rFonts w:eastAsia="Times New Roman" w:cs="Times New Roman"/>
          <w:szCs w:val="24"/>
          <w:lang w:eastAsia="es-CO"/>
        </w:rPr>
        <w:t xml:space="preserve">y que el valor de los aportes será retenido por el contratante. </w:t>
      </w:r>
    </w:p>
    <w:p w:rsidR="00765AF7" w:rsidRDefault="00CE40D4" w:rsidP="0084055D">
      <w:pPr>
        <w:adjustRightInd w:val="0"/>
        <w:spacing w:line="360" w:lineRule="auto"/>
        <w:jc w:val="both"/>
        <w:rPr>
          <w:rFonts w:eastAsia="Times New Roman" w:cs="Times New Roman"/>
          <w:szCs w:val="24"/>
          <w:lang w:eastAsia="es-CO"/>
        </w:rPr>
      </w:pPr>
      <w:r>
        <w:rPr>
          <w:rFonts w:eastAsia="Times New Roman" w:cs="Times New Roman"/>
          <w:szCs w:val="24"/>
          <w:lang w:eastAsia="es-CO"/>
        </w:rPr>
        <w:t>Nota: todas las normas y conceptos citados en el presente documento se encuentran en la carpeta “DOCUMENTOS 2014) Subcarpeta “</w:t>
      </w:r>
      <w:r w:rsidR="00CF046F">
        <w:rPr>
          <w:rFonts w:eastAsia="Times New Roman" w:cs="Times New Roman"/>
          <w:szCs w:val="24"/>
          <w:lang w:eastAsia="es-CO"/>
        </w:rPr>
        <w:t xml:space="preserve">Conceptos Dian y Ministerio de Salud y P. Social sobre aportes independientes”. </w:t>
      </w:r>
    </w:p>
    <w:p w:rsidR="00CF046F" w:rsidRDefault="00CF046F" w:rsidP="0084055D">
      <w:pPr>
        <w:adjustRightInd w:val="0"/>
        <w:spacing w:line="360" w:lineRule="auto"/>
        <w:jc w:val="both"/>
        <w:rPr>
          <w:rFonts w:eastAsia="Times New Roman" w:cs="Times New Roman"/>
          <w:szCs w:val="24"/>
          <w:lang w:eastAsia="es-CO"/>
        </w:rPr>
      </w:pPr>
      <w:r>
        <w:rPr>
          <w:rFonts w:eastAsia="Times New Roman" w:cs="Times New Roman"/>
          <w:szCs w:val="24"/>
          <w:lang w:eastAsia="es-CO"/>
        </w:rPr>
        <w:t xml:space="preserve">Cordialmente </w:t>
      </w:r>
    </w:p>
    <w:p w:rsidR="00CF046F" w:rsidRDefault="00CF046F" w:rsidP="0084055D">
      <w:pPr>
        <w:adjustRightInd w:val="0"/>
        <w:spacing w:line="360" w:lineRule="auto"/>
        <w:jc w:val="both"/>
        <w:rPr>
          <w:rFonts w:eastAsia="Times New Roman" w:cs="Times New Roman"/>
          <w:szCs w:val="24"/>
          <w:lang w:eastAsia="es-CO"/>
        </w:rPr>
      </w:pPr>
      <w:r>
        <w:rPr>
          <w:rFonts w:eastAsia="Times New Roman" w:cs="Times New Roman"/>
          <w:szCs w:val="24"/>
          <w:lang w:eastAsia="es-CO"/>
        </w:rPr>
        <w:t xml:space="preserve">GUILLERMO ALZATE DUQUE </w:t>
      </w:r>
    </w:p>
    <w:p w:rsidR="00CF046F" w:rsidRDefault="00CF046F" w:rsidP="0084055D">
      <w:pPr>
        <w:adjustRightInd w:val="0"/>
        <w:spacing w:line="360" w:lineRule="auto"/>
        <w:jc w:val="both"/>
        <w:rPr>
          <w:rFonts w:eastAsia="Times New Roman" w:cs="Times New Roman"/>
          <w:szCs w:val="24"/>
          <w:lang w:eastAsia="es-CO"/>
        </w:rPr>
      </w:pPr>
      <w:r>
        <w:rPr>
          <w:rFonts w:eastAsia="Times New Roman" w:cs="Times New Roman"/>
          <w:szCs w:val="24"/>
          <w:lang w:eastAsia="es-CO"/>
        </w:rPr>
        <w:t>Portaltributario.co</w:t>
      </w:r>
      <w:bookmarkStart w:id="0" w:name="_GoBack"/>
      <w:bookmarkEnd w:id="0"/>
    </w:p>
    <w:p w:rsidR="00CE40D4" w:rsidRDefault="00CE40D4" w:rsidP="0084055D">
      <w:pPr>
        <w:adjustRightInd w:val="0"/>
        <w:spacing w:line="360" w:lineRule="auto"/>
        <w:jc w:val="both"/>
        <w:rPr>
          <w:rFonts w:eastAsia="Times New Roman" w:cs="Times New Roman"/>
          <w:szCs w:val="24"/>
          <w:lang w:eastAsia="es-CO"/>
        </w:rPr>
      </w:pPr>
    </w:p>
    <w:p w:rsidR="00951229" w:rsidRDefault="00951229" w:rsidP="00CE40D4">
      <w:pPr>
        <w:adjustRightInd w:val="0"/>
        <w:spacing w:line="360" w:lineRule="auto"/>
        <w:jc w:val="both"/>
        <w:rPr>
          <w:rFonts w:eastAsia="Times New Roman" w:cs="Times New Roman"/>
          <w:szCs w:val="24"/>
          <w:lang w:eastAsia="es-CO"/>
        </w:rPr>
      </w:pPr>
    </w:p>
    <w:p w:rsidR="00951229" w:rsidRDefault="00951229" w:rsidP="0084055D">
      <w:pPr>
        <w:spacing w:after="0" w:line="360" w:lineRule="auto"/>
        <w:jc w:val="both"/>
        <w:rPr>
          <w:rFonts w:eastAsia="Times New Roman" w:cs="Times New Roman"/>
          <w:szCs w:val="24"/>
          <w:lang w:eastAsia="es-CO"/>
        </w:rPr>
      </w:pPr>
    </w:p>
    <w:p w:rsidR="00951229" w:rsidRDefault="00951229" w:rsidP="0084055D">
      <w:pPr>
        <w:spacing w:after="0" w:line="360" w:lineRule="auto"/>
        <w:jc w:val="both"/>
        <w:rPr>
          <w:rFonts w:eastAsia="Times New Roman" w:cs="Times New Roman"/>
          <w:szCs w:val="24"/>
          <w:lang w:eastAsia="es-CO"/>
        </w:rPr>
      </w:pPr>
    </w:p>
    <w:sectPr w:rsidR="00951229" w:rsidSect="000314AE">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0A"/>
    <w:rsid w:val="000314AE"/>
    <w:rsid w:val="001A638C"/>
    <w:rsid w:val="001C53BD"/>
    <w:rsid w:val="001C6DF4"/>
    <w:rsid w:val="0029351E"/>
    <w:rsid w:val="002D1214"/>
    <w:rsid w:val="003A0E54"/>
    <w:rsid w:val="003D36A8"/>
    <w:rsid w:val="006734DA"/>
    <w:rsid w:val="006D2E17"/>
    <w:rsid w:val="00765AF7"/>
    <w:rsid w:val="00776EA5"/>
    <w:rsid w:val="00787F5E"/>
    <w:rsid w:val="0084055D"/>
    <w:rsid w:val="008432EB"/>
    <w:rsid w:val="00856FFE"/>
    <w:rsid w:val="00951229"/>
    <w:rsid w:val="00961BFA"/>
    <w:rsid w:val="00966F74"/>
    <w:rsid w:val="009B0C72"/>
    <w:rsid w:val="00AA1371"/>
    <w:rsid w:val="00AF51E5"/>
    <w:rsid w:val="00B15C0A"/>
    <w:rsid w:val="00B35CFC"/>
    <w:rsid w:val="00B4750E"/>
    <w:rsid w:val="00B94BED"/>
    <w:rsid w:val="00BA7883"/>
    <w:rsid w:val="00CE40D4"/>
    <w:rsid w:val="00CF046F"/>
    <w:rsid w:val="00E3651C"/>
    <w:rsid w:val="00F10740"/>
    <w:rsid w:val="00FD2B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B8BBB-70E7-4D47-85C8-7430E034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923933">
      <w:bodyDiv w:val="1"/>
      <w:marLeft w:val="0"/>
      <w:marRight w:val="0"/>
      <w:marTop w:val="0"/>
      <w:marBottom w:val="0"/>
      <w:divBdr>
        <w:top w:val="none" w:sz="0" w:space="0" w:color="auto"/>
        <w:left w:val="none" w:sz="0" w:space="0" w:color="auto"/>
        <w:bottom w:val="none" w:sz="0" w:space="0" w:color="auto"/>
        <w:right w:val="none" w:sz="0" w:space="0" w:color="auto"/>
      </w:divBdr>
      <w:divsChild>
        <w:div w:id="68307166">
          <w:marLeft w:val="0"/>
          <w:marRight w:val="0"/>
          <w:marTop w:val="0"/>
          <w:marBottom w:val="0"/>
          <w:divBdr>
            <w:top w:val="none" w:sz="0" w:space="0" w:color="auto"/>
            <w:left w:val="none" w:sz="0" w:space="0" w:color="auto"/>
            <w:bottom w:val="none" w:sz="0" w:space="0" w:color="auto"/>
            <w:right w:val="none" w:sz="0" w:space="0" w:color="auto"/>
          </w:divBdr>
        </w:div>
        <w:div w:id="472410268">
          <w:marLeft w:val="0"/>
          <w:marRight w:val="0"/>
          <w:marTop w:val="0"/>
          <w:marBottom w:val="0"/>
          <w:divBdr>
            <w:top w:val="none" w:sz="0" w:space="0" w:color="auto"/>
            <w:left w:val="none" w:sz="0" w:space="0" w:color="auto"/>
            <w:bottom w:val="none" w:sz="0" w:space="0" w:color="auto"/>
            <w:right w:val="none" w:sz="0" w:space="0" w:color="auto"/>
          </w:divBdr>
        </w:div>
        <w:div w:id="1377125105">
          <w:marLeft w:val="0"/>
          <w:marRight w:val="0"/>
          <w:marTop w:val="0"/>
          <w:marBottom w:val="0"/>
          <w:divBdr>
            <w:top w:val="none" w:sz="0" w:space="0" w:color="auto"/>
            <w:left w:val="none" w:sz="0" w:space="0" w:color="auto"/>
            <w:bottom w:val="none" w:sz="0" w:space="0" w:color="auto"/>
            <w:right w:val="none" w:sz="0" w:space="0" w:color="auto"/>
          </w:divBdr>
        </w:div>
        <w:div w:id="1137138323">
          <w:marLeft w:val="0"/>
          <w:marRight w:val="0"/>
          <w:marTop w:val="0"/>
          <w:marBottom w:val="0"/>
          <w:divBdr>
            <w:top w:val="none" w:sz="0" w:space="0" w:color="auto"/>
            <w:left w:val="none" w:sz="0" w:space="0" w:color="auto"/>
            <w:bottom w:val="none" w:sz="0" w:space="0" w:color="auto"/>
            <w:right w:val="none" w:sz="0" w:space="0" w:color="auto"/>
          </w:divBdr>
        </w:div>
        <w:div w:id="1601065668">
          <w:marLeft w:val="0"/>
          <w:marRight w:val="0"/>
          <w:marTop w:val="0"/>
          <w:marBottom w:val="0"/>
          <w:divBdr>
            <w:top w:val="none" w:sz="0" w:space="0" w:color="auto"/>
            <w:left w:val="none" w:sz="0" w:space="0" w:color="auto"/>
            <w:bottom w:val="none" w:sz="0" w:space="0" w:color="auto"/>
            <w:right w:val="none" w:sz="0" w:space="0" w:color="auto"/>
          </w:divBdr>
        </w:div>
        <w:div w:id="1555388359">
          <w:marLeft w:val="0"/>
          <w:marRight w:val="0"/>
          <w:marTop w:val="0"/>
          <w:marBottom w:val="0"/>
          <w:divBdr>
            <w:top w:val="none" w:sz="0" w:space="0" w:color="auto"/>
            <w:left w:val="none" w:sz="0" w:space="0" w:color="auto"/>
            <w:bottom w:val="none" w:sz="0" w:space="0" w:color="auto"/>
            <w:right w:val="none" w:sz="0" w:space="0" w:color="auto"/>
          </w:divBdr>
        </w:div>
        <w:div w:id="174653826">
          <w:marLeft w:val="0"/>
          <w:marRight w:val="0"/>
          <w:marTop w:val="0"/>
          <w:marBottom w:val="0"/>
          <w:divBdr>
            <w:top w:val="none" w:sz="0" w:space="0" w:color="auto"/>
            <w:left w:val="none" w:sz="0" w:space="0" w:color="auto"/>
            <w:bottom w:val="none" w:sz="0" w:space="0" w:color="auto"/>
            <w:right w:val="none" w:sz="0" w:space="0" w:color="auto"/>
          </w:divBdr>
        </w:div>
        <w:div w:id="1491482115">
          <w:marLeft w:val="0"/>
          <w:marRight w:val="0"/>
          <w:marTop w:val="0"/>
          <w:marBottom w:val="0"/>
          <w:divBdr>
            <w:top w:val="none" w:sz="0" w:space="0" w:color="auto"/>
            <w:left w:val="none" w:sz="0" w:space="0" w:color="auto"/>
            <w:bottom w:val="none" w:sz="0" w:space="0" w:color="auto"/>
            <w:right w:val="none" w:sz="0" w:space="0" w:color="auto"/>
          </w:divBdr>
        </w:div>
        <w:div w:id="857236578">
          <w:marLeft w:val="0"/>
          <w:marRight w:val="0"/>
          <w:marTop w:val="0"/>
          <w:marBottom w:val="0"/>
          <w:divBdr>
            <w:top w:val="none" w:sz="0" w:space="0" w:color="auto"/>
            <w:left w:val="none" w:sz="0" w:space="0" w:color="auto"/>
            <w:bottom w:val="none" w:sz="0" w:space="0" w:color="auto"/>
            <w:right w:val="none" w:sz="0" w:space="0" w:color="auto"/>
          </w:divBdr>
        </w:div>
        <w:div w:id="494301235">
          <w:marLeft w:val="0"/>
          <w:marRight w:val="0"/>
          <w:marTop w:val="0"/>
          <w:marBottom w:val="0"/>
          <w:divBdr>
            <w:top w:val="none" w:sz="0" w:space="0" w:color="auto"/>
            <w:left w:val="none" w:sz="0" w:space="0" w:color="auto"/>
            <w:bottom w:val="none" w:sz="0" w:space="0" w:color="auto"/>
            <w:right w:val="none" w:sz="0" w:space="0" w:color="auto"/>
          </w:divBdr>
        </w:div>
        <w:div w:id="1855223622">
          <w:marLeft w:val="0"/>
          <w:marRight w:val="0"/>
          <w:marTop w:val="0"/>
          <w:marBottom w:val="0"/>
          <w:divBdr>
            <w:top w:val="none" w:sz="0" w:space="0" w:color="auto"/>
            <w:left w:val="none" w:sz="0" w:space="0" w:color="auto"/>
            <w:bottom w:val="none" w:sz="0" w:space="0" w:color="auto"/>
            <w:right w:val="none" w:sz="0" w:space="0" w:color="auto"/>
          </w:divBdr>
        </w:div>
        <w:div w:id="1997611905">
          <w:marLeft w:val="0"/>
          <w:marRight w:val="0"/>
          <w:marTop w:val="0"/>
          <w:marBottom w:val="0"/>
          <w:divBdr>
            <w:top w:val="none" w:sz="0" w:space="0" w:color="auto"/>
            <w:left w:val="none" w:sz="0" w:space="0" w:color="auto"/>
            <w:bottom w:val="none" w:sz="0" w:space="0" w:color="auto"/>
            <w:right w:val="none" w:sz="0" w:space="0" w:color="auto"/>
          </w:divBdr>
        </w:div>
        <w:div w:id="562067061">
          <w:marLeft w:val="0"/>
          <w:marRight w:val="0"/>
          <w:marTop w:val="0"/>
          <w:marBottom w:val="0"/>
          <w:divBdr>
            <w:top w:val="none" w:sz="0" w:space="0" w:color="auto"/>
            <w:left w:val="none" w:sz="0" w:space="0" w:color="auto"/>
            <w:bottom w:val="none" w:sz="0" w:space="0" w:color="auto"/>
            <w:right w:val="none" w:sz="0" w:space="0" w:color="auto"/>
          </w:divBdr>
        </w:div>
        <w:div w:id="468205422">
          <w:marLeft w:val="0"/>
          <w:marRight w:val="0"/>
          <w:marTop w:val="0"/>
          <w:marBottom w:val="0"/>
          <w:divBdr>
            <w:top w:val="none" w:sz="0" w:space="0" w:color="auto"/>
            <w:left w:val="none" w:sz="0" w:space="0" w:color="auto"/>
            <w:bottom w:val="none" w:sz="0" w:space="0" w:color="auto"/>
            <w:right w:val="none" w:sz="0" w:space="0" w:color="auto"/>
          </w:divBdr>
        </w:div>
        <w:div w:id="2065980031">
          <w:marLeft w:val="0"/>
          <w:marRight w:val="0"/>
          <w:marTop w:val="0"/>
          <w:marBottom w:val="0"/>
          <w:divBdr>
            <w:top w:val="none" w:sz="0" w:space="0" w:color="auto"/>
            <w:left w:val="none" w:sz="0" w:space="0" w:color="auto"/>
            <w:bottom w:val="none" w:sz="0" w:space="0" w:color="auto"/>
            <w:right w:val="none" w:sz="0" w:space="0" w:color="auto"/>
          </w:divBdr>
        </w:div>
        <w:div w:id="1251621577">
          <w:marLeft w:val="0"/>
          <w:marRight w:val="0"/>
          <w:marTop w:val="0"/>
          <w:marBottom w:val="0"/>
          <w:divBdr>
            <w:top w:val="none" w:sz="0" w:space="0" w:color="auto"/>
            <w:left w:val="none" w:sz="0" w:space="0" w:color="auto"/>
            <w:bottom w:val="none" w:sz="0" w:space="0" w:color="auto"/>
            <w:right w:val="none" w:sz="0" w:space="0" w:color="auto"/>
          </w:divBdr>
        </w:div>
        <w:div w:id="1070343904">
          <w:marLeft w:val="0"/>
          <w:marRight w:val="0"/>
          <w:marTop w:val="0"/>
          <w:marBottom w:val="0"/>
          <w:divBdr>
            <w:top w:val="none" w:sz="0" w:space="0" w:color="auto"/>
            <w:left w:val="none" w:sz="0" w:space="0" w:color="auto"/>
            <w:bottom w:val="none" w:sz="0" w:space="0" w:color="auto"/>
            <w:right w:val="none" w:sz="0" w:space="0" w:color="auto"/>
          </w:divBdr>
        </w:div>
        <w:div w:id="2001300387">
          <w:marLeft w:val="0"/>
          <w:marRight w:val="0"/>
          <w:marTop w:val="0"/>
          <w:marBottom w:val="0"/>
          <w:divBdr>
            <w:top w:val="none" w:sz="0" w:space="0" w:color="auto"/>
            <w:left w:val="none" w:sz="0" w:space="0" w:color="auto"/>
            <w:bottom w:val="none" w:sz="0" w:space="0" w:color="auto"/>
            <w:right w:val="none" w:sz="0" w:space="0" w:color="auto"/>
          </w:divBdr>
        </w:div>
        <w:div w:id="395054">
          <w:marLeft w:val="0"/>
          <w:marRight w:val="0"/>
          <w:marTop w:val="0"/>
          <w:marBottom w:val="0"/>
          <w:divBdr>
            <w:top w:val="none" w:sz="0" w:space="0" w:color="auto"/>
            <w:left w:val="none" w:sz="0" w:space="0" w:color="auto"/>
            <w:bottom w:val="none" w:sz="0" w:space="0" w:color="auto"/>
            <w:right w:val="none" w:sz="0" w:space="0" w:color="auto"/>
          </w:divBdr>
        </w:div>
        <w:div w:id="1997956957">
          <w:marLeft w:val="0"/>
          <w:marRight w:val="0"/>
          <w:marTop w:val="0"/>
          <w:marBottom w:val="0"/>
          <w:divBdr>
            <w:top w:val="none" w:sz="0" w:space="0" w:color="auto"/>
            <w:left w:val="none" w:sz="0" w:space="0" w:color="auto"/>
            <w:bottom w:val="none" w:sz="0" w:space="0" w:color="auto"/>
            <w:right w:val="none" w:sz="0" w:space="0" w:color="auto"/>
          </w:divBdr>
        </w:div>
        <w:div w:id="1983852291">
          <w:marLeft w:val="0"/>
          <w:marRight w:val="0"/>
          <w:marTop w:val="0"/>
          <w:marBottom w:val="0"/>
          <w:divBdr>
            <w:top w:val="none" w:sz="0" w:space="0" w:color="auto"/>
            <w:left w:val="none" w:sz="0" w:space="0" w:color="auto"/>
            <w:bottom w:val="none" w:sz="0" w:space="0" w:color="auto"/>
            <w:right w:val="none" w:sz="0" w:space="0" w:color="auto"/>
          </w:divBdr>
        </w:div>
        <w:div w:id="411658307">
          <w:marLeft w:val="0"/>
          <w:marRight w:val="0"/>
          <w:marTop w:val="0"/>
          <w:marBottom w:val="0"/>
          <w:divBdr>
            <w:top w:val="none" w:sz="0" w:space="0" w:color="auto"/>
            <w:left w:val="none" w:sz="0" w:space="0" w:color="auto"/>
            <w:bottom w:val="none" w:sz="0" w:space="0" w:color="auto"/>
            <w:right w:val="none" w:sz="0" w:space="0" w:color="auto"/>
          </w:divBdr>
        </w:div>
        <w:div w:id="2077047231">
          <w:marLeft w:val="0"/>
          <w:marRight w:val="0"/>
          <w:marTop w:val="0"/>
          <w:marBottom w:val="0"/>
          <w:divBdr>
            <w:top w:val="none" w:sz="0" w:space="0" w:color="auto"/>
            <w:left w:val="none" w:sz="0" w:space="0" w:color="auto"/>
            <w:bottom w:val="none" w:sz="0" w:space="0" w:color="auto"/>
            <w:right w:val="none" w:sz="0" w:space="0" w:color="auto"/>
          </w:divBdr>
        </w:div>
        <w:div w:id="1664698508">
          <w:marLeft w:val="0"/>
          <w:marRight w:val="0"/>
          <w:marTop w:val="0"/>
          <w:marBottom w:val="0"/>
          <w:divBdr>
            <w:top w:val="none" w:sz="0" w:space="0" w:color="auto"/>
            <w:left w:val="none" w:sz="0" w:space="0" w:color="auto"/>
            <w:bottom w:val="none" w:sz="0" w:space="0" w:color="auto"/>
            <w:right w:val="none" w:sz="0" w:space="0" w:color="auto"/>
          </w:divBdr>
        </w:div>
        <w:div w:id="1251113797">
          <w:marLeft w:val="0"/>
          <w:marRight w:val="0"/>
          <w:marTop w:val="0"/>
          <w:marBottom w:val="0"/>
          <w:divBdr>
            <w:top w:val="none" w:sz="0" w:space="0" w:color="auto"/>
            <w:left w:val="none" w:sz="0" w:space="0" w:color="auto"/>
            <w:bottom w:val="none" w:sz="0" w:space="0" w:color="auto"/>
            <w:right w:val="none" w:sz="0" w:space="0" w:color="auto"/>
          </w:divBdr>
        </w:div>
        <w:div w:id="941187790">
          <w:marLeft w:val="0"/>
          <w:marRight w:val="0"/>
          <w:marTop w:val="0"/>
          <w:marBottom w:val="0"/>
          <w:divBdr>
            <w:top w:val="none" w:sz="0" w:space="0" w:color="auto"/>
            <w:left w:val="none" w:sz="0" w:space="0" w:color="auto"/>
            <w:bottom w:val="none" w:sz="0" w:space="0" w:color="auto"/>
            <w:right w:val="none" w:sz="0" w:space="0" w:color="auto"/>
          </w:divBdr>
        </w:div>
        <w:div w:id="586498178">
          <w:marLeft w:val="0"/>
          <w:marRight w:val="0"/>
          <w:marTop w:val="0"/>
          <w:marBottom w:val="0"/>
          <w:divBdr>
            <w:top w:val="none" w:sz="0" w:space="0" w:color="auto"/>
            <w:left w:val="none" w:sz="0" w:space="0" w:color="auto"/>
            <w:bottom w:val="none" w:sz="0" w:space="0" w:color="auto"/>
            <w:right w:val="none" w:sz="0" w:space="0" w:color="auto"/>
          </w:divBdr>
        </w:div>
        <w:div w:id="1400975578">
          <w:marLeft w:val="0"/>
          <w:marRight w:val="0"/>
          <w:marTop w:val="0"/>
          <w:marBottom w:val="0"/>
          <w:divBdr>
            <w:top w:val="none" w:sz="0" w:space="0" w:color="auto"/>
            <w:left w:val="none" w:sz="0" w:space="0" w:color="auto"/>
            <w:bottom w:val="none" w:sz="0" w:space="0" w:color="auto"/>
            <w:right w:val="none" w:sz="0" w:space="0" w:color="auto"/>
          </w:divBdr>
        </w:div>
        <w:div w:id="766996328">
          <w:marLeft w:val="0"/>
          <w:marRight w:val="0"/>
          <w:marTop w:val="0"/>
          <w:marBottom w:val="0"/>
          <w:divBdr>
            <w:top w:val="none" w:sz="0" w:space="0" w:color="auto"/>
            <w:left w:val="none" w:sz="0" w:space="0" w:color="auto"/>
            <w:bottom w:val="none" w:sz="0" w:space="0" w:color="auto"/>
            <w:right w:val="none" w:sz="0" w:space="0" w:color="auto"/>
          </w:divBdr>
        </w:div>
        <w:div w:id="155922819">
          <w:marLeft w:val="0"/>
          <w:marRight w:val="0"/>
          <w:marTop w:val="0"/>
          <w:marBottom w:val="0"/>
          <w:divBdr>
            <w:top w:val="none" w:sz="0" w:space="0" w:color="auto"/>
            <w:left w:val="none" w:sz="0" w:space="0" w:color="auto"/>
            <w:bottom w:val="none" w:sz="0" w:space="0" w:color="auto"/>
            <w:right w:val="none" w:sz="0" w:space="0" w:color="auto"/>
          </w:divBdr>
        </w:div>
        <w:div w:id="1367293500">
          <w:marLeft w:val="0"/>
          <w:marRight w:val="0"/>
          <w:marTop w:val="0"/>
          <w:marBottom w:val="0"/>
          <w:divBdr>
            <w:top w:val="none" w:sz="0" w:space="0" w:color="auto"/>
            <w:left w:val="none" w:sz="0" w:space="0" w:color="auto"/>
            <w:bottom w:val="none" w:sz="0" w:space="0" w:color="auto"/>
            <w:right w:val="none" w:sz="0" w:space="0" w:color="auto"/>
          </w:divBdr>
          <w:divsChild>
            <w:div w:id="249855108">
              <w:marLeft w:val="0"/>
              <w:marRight w:val="0"/>
              <w:marTop w:val="0"/>
              <w:marBottom w:val="0"/>
              <w:divBdr>
                <w:top w:val="none" w:sz="0" w:space="0" w:color="auto"/>
                <w:left w:val="none" w:sz="0" w:space="0" w:color="auto"/>
                <w:bottom w:val="none" w:sz="0" w:space="0" w:color="auto"/>
                <w:right w:val="none" w:sz="0" w:space="0" w:color="auto"/>
              </w:divBdr>
            </w:div>
            <w:div w:id="57092921">
              <w:marLeft w:val="0"/>
              <w:marRight w:val="0"/>
              <w:marTop w:val="0"/>
              <w:marBottom w:val="0"/>
              <w:divBdr>
                <w:top w:val="none" w:sz="0" w:space="0" w:color="auto"/>
                <w:left w:val="none" w:sz="0" w:space="0" w:color="auto"/>
                <w:bottom w:val="none" w:sz="0" w:space="0" w:color="auto"/>
                <w:right w:val="none" w:sz="0" w:space="0" w:color="auto"/>
              </w:divBdr>
            </w:div>
            <w:div w:id="1090156334">
              <w:marLeft w:val="0"/>
              <w:marRight w:val="0"/>
              <w:marTop w:val="0"/>
              <w:marBottom w:val="0"/>
              <w:divBdr>
                <w:top w:val="none" w:sz="0" w:space="0" w:color="auto"/>
                <w:left w:val="none" w:sz="0" w:space="0" w:color="auto"/>
                <w:bottom w:val="none" w:sz="0" w:space="0" w:color="auto"/>
                <w:right w:val="none" w:sz="0" w:space="0" w:color="auto"/>
              </w:divBdr>
            </w:div>
            <w:div w:id="119356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5</Pages>
  <Words>1233</Words>
  <Characters>6784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22</cp:revision>
  <dcterms:created xsi:type="dcterms:W3CDTF">2015-03-17T22:17:00Z</dcterms:created>
  <dcterms:modified xsi:type="dcterms:W3CDTF">2015-03-20T01:41:00Z</dcterms:modified>
</cp:coreProperties>
</file>