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16" w:rsidRPr="00040D16" w:rsidRDefault="00040D16" w:rsidP="00040D16">
      <w:pPr>
        <w:spacing w:line="240" w:lineRule="auto"/>
        <w:jc w:val="center"/>
        <w:rPr>
          <w:rFonts w:eastAsia="Times New Roman"/>
          <w:szCs w:val="24"/>
          <w:lang w:eastAsia="es-CO"/>
        </w:rPr>
      </w:pPr>
      <w:r w:rsidRPr="00040D16">
        <w:rPr>
          <w:rFonts w:ascii="Segoe UI" w:eastAsia="Times New Roman" w:hAnsi="Segoe UI" w:cs="Segoe UI"/>
          <w:b/>
          <w:bCs/>
          <w:color w:val="0000FF"/>
          <w:sz w:val="28"/>
          <w:lang w:eastAsia="es-CO"/>
        </w:rPr>
        <w:t>OFICIO N° 076749</w:t>
      </w:r>
    </w:p>
    <w:p w:rsidR="00040D16" w:rsidRPr="00040D16" w:rsidRDefault="00040D16" w:rsidP="00040D16">
      <w:pPr>
        <w:spacing w:line="240" w:lineRule="auto"/>
        <w:jc w:val="center"/>
        <w:rPr>
          <w:rFonts w:eastAsia="Times New Roman"/>
          <w:szCs w:val="24"/>
          <w:lang w:eastAsia="es-CO"/>
        </w:rPr>
      </w:pPr>
      <w:r w:rsidRPr="00040D16">
        <w:rPr>
          <w:rFonts w:ascii="Segoe UI" w:eastAsia="Times New Roman" w:hAnsi="Segoe UI" w:cs="Segoe UI"/>
          <w:b/>
          <w:bCs/>
          <w:color w:val="0000FF"/>
          <w:sz w:val="28"/>
          <w:lang w:eastAsia="es-CO"/>
        </w:rPr>
        <w:t>29-11-2013</w:t>
      </w:r>
    </w:p>
    <w:p w:rsidR="00040D16" w:rsidRPr="00040D16" w:rsidRDefault="00040D16" w:rsidP="00040D16">
      <w:pPr>
        <w:spacing w:line="240" w:lineRule="auto"/>
        <w:jc w:val="center"/>
        <w:rPr>
          <w:rFonts w:eastAsia="Times New Roman"/>
          <w:szCs w:val="24"/>
          <w:lang w:eastAsia="es-CO"/>
        </w:rPr>
      </w:pPr>
      <w:r w:rsidRPr="00040D16">
        <w:rPr>
          <w:rFonts w:ascii="Segoe UI" w:eastAsia="Times New Roman" w:hAnsi="Segoe UI" w:cs="Segoe UI"/>
          <w:b/>
          <w:bCs/>
          <w:color w:val="0000FF"/>
          <w:sz w:val="28"/>
          <w:lang w:eastAsia="es-CO"/>
        </w:rPr>
        <w:t>DIAN</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b/>
          <w:color w:val="0000FF"/>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b/>
          <w:color w:val="0000FF"/>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100208221 – 1019</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Bogotá D.C.</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ascii="Arial" w:eastAsia="Times New Roman" w:hAnsi="Arial" w:cs="Arial"/>
          <w:sz w:val="18"/>
          <w:szCs w:val="18"/>
          <w:lang w:eastAsia="es-CO"/>
        </w:rPr>
      </w:pPr>
      <w:r w:rsidRPr="00040D16">
        <w:rPr>
          <w:rFonts w:ascii="Segoe UI" w:eastAsia="Times New Roman" w:hAnsi="Segoe UI" w:cs="Segoe UI"/>
          <w:sz w:val="22"/>
          <w:lang w:eastAsia="es-CO"/>
        </w:rPr>
        <w:t>Señor</w:t>
      </w:r>
    </w:p>
    <w:p w:rsidR="00040D16" w:rsidRPr="00040D16" w:rsidRDefault="00040D16" w:rsidP="00040D16">
      <w:pPr>
        <w:spacing w:line="240" w:lineRule="auto"/>
        <w:rPr>
          <w:rFonts w:ascii="Arial" w:eastAsia="Times New Roman" w:hAnsi="Arial" w:cs="Arial"/>
          <w:sz w:val="18"/>
          <w:szCs w:val="18"/>
          <w:lang w:eastAsia="es-CO"/>
        </w:rPr>
      </w:pPr>
      <w:r w:rsidRPr="00040D16">
        <w:rPr>
          <w:rFonts w:ascii="Segoe UI" w:eastAsia="Times New Roman" w:hAnsi="Segoe UI" w:cs="Segoe UI"/>
          <w:b/>
          <w:sz w:val="22"/>
          <w:lang w:eastAsia="es-CO"/>
        </w:rPr>
        <w:t>JORGE ROBER FIGUEROA</w:t>
      </w:r>
    </w:p>
    <w:p w:rsidR="00040D16" w:rsidRPr="00040D16" w:rsidRDefault="00040D16" w:rsidP="00040D16">
      <w:pPr>
        <w:spacing w:line="240" w:lineRule="auto"/>
        <w:rPr>
          <w:rFonts w:ascii="Arial" w:eastAsia="Times New Roman" w:hAnsi="Arial" w:cs="Arial"/>
          <w:sz w:val="18"/>
          <w:szCs w:val="18"/>
          <w:lang w:eastAsia="es-CO"/>
        </w:rPr>
      </w:pPr>
      <w:r w:rsidRPr="00040D16">
        <w:rPr>
          <w:rFonts w:ascii="Segoe UI" w:eastAsia="Times New Roman" w:hAnsi="Segoe UI" w:cs="Segoe UI"/>
          <w:sz w:val="22"/>
          <w:lang w:eastAsia="es-CO"/>
        </w:rPr>
        <w:t>Avenida Panamericana Carrera 40 A No. 19 B 55</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Pasto – Nariño</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b/>
          <w:bCs/>
          <w:szCs w:val="24"/>
          <w:lang w:eastAsia="es-CO"/>
        </w:rPr>
        <w:t> </w:t>
      </w:r>
    </w:p>
    <w:p w:rsidR="00040D16" w:rsidRPr="00040D16" w:rsidRDefault="00040D16" w:rsidP="00040D16">
      <w:pPr>
        <w:spacing w:line="240" w:lineRule="auto"/>
        <w:rPr>
          <w:rFonts w:ascii="Arial" w:eastAsia="Times New Roman" w:hAnsi="Arial" w:cs="Arial"/>
          <w:sz w:val="18"/>
          <w:szCs w:val="18"/>
          <w:lang w:eastAsia="es-CO"/>
        </w:rPr>
      </w:pPr>
      <w:r w:rsidRPr="00040D16">
        <w:rPr>
          <w:rFonts w:ascii="Segoe UI" w:eastAsia="Times New Roman" w:hAnsi="Segoe UI" w:cs="Segoe UI"/>
          <w:b/>
          <w:sz w:val="22"/>
          <w:lang w:eastAsia="es-CO"/>
        </w:rPr>
        <w:t xml:space="preserve">Ref.: </w:t>
      </w:r>
      <w:r w:rsidRPr="00040D16">
        <w:rPr>
          <w:rFonts w:ascii="Segoe UI" w:eastAsia="Times New Roman" w:hAnsi="Segoe UI" w:cs="Segoe UI"/>
          <w:sz w:val="22"/>
          <w:lang w:eastAsia="es-CO"/>
        </w:rPr>
        <w:t>Radicado 100208221-222 del 15/10/2013</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bCs/>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b/>
          <w:bCs/>
          <w:szCs w:val="24"/>
          <w:lang w:eastAsia="es-CO"/>
        </w:rPr>
        <w:t xml:space="preserve">TEMA: </w:t>
      </w:r>
      <w:r w:rsidRPr="00040D16">
        <w:rPr>
          <w:rFonts w:ascii="Segoe UI" w:eastAsia="Times New Roman" w:hAnsi="Segoe UI" w:cs="Segoe UI"/>
          <w:szCs w:val="24"/>
          <w:lang w:eastAsia="es-CO"/>
        </w:rPr>
        <w:t>Retención en la fuente</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b/>
          <w:bCs/>
          <w:szCs w:val="24"/>
          <w:lang w:eastAsia="es-CO"/>
        </w:rPr>
        <w:t xml:space="preserve">DESCRIPTORES: </w:t>
      </w:r>
      <w:r w:rsidRPr="00040D16">
        <w:rPr>
          <w:rFonts w:ascii="Segoe UI" w:eastAsia="Times New Roman" w:hAnsi="Segoe UI" w:cs="Segoe UI"/>
          <w:szCs w:val="24"/>
          <w:lang w:eastAsia="es-CO"/>
        </w:rPr>
        <w:t>Trabajadores - Por Cuenta Propia</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b/>
          <w:bCs/>
          <w:szCs w:val="24"/>
          <w:lang w:eastAsia="es-CO"/>
        </w:rPr>
        <w:t xml:space="preserve">FUENTES FORMALES: </w:t>
      </w:r>
      <w:r w:rsidRPr="00040D16">
        <w:rPr>
          <w:rFonts w:ascii="Segoe UI" w:eastAsia="Times New Roman" w:hAnsi="Segoe UI" w:cs="Segoe UI"/>
          <w:szCs w:val="24"/>
          <w:lang w:eastAsia="es-CO"/>
        </w:rPr>
        <w:t xml:space="preserve">ESTATUTO TRIBUTARIO ARTS. </w:t>
      </w:r>
      <w:hyperlink r:id="rId5" w:tooltip="Estatuto Tributario CETA" w:history="1">
        <w:r w:rsidRPr="00040D16">
          <w:rPr>
            <w:rFonts w:ascii="Segoe UI" w:eastAsia="Times New Roman" w:hAnsi="Segoe UI" w:cs="Segoe UI"/>
            <w:color w:val="0089E1"/>
            <w:szCs w:val="24"/>
            <w:lang w:eastAsia="es-CO"/>
          </w:rPr>
          <w:t>383</w:t>
        </w:r>
      </w:hyperlink>
      <w:r w:rsidRPr="00040D16">
        <w:rPr>
          <w:rFonts w:ascii="Segoe UI" w:eastAsia="Times New Roman" w:hAnsi="Segoe UI" w:cs="Segoe UI"/>
          <w:szCs w:val="24"/>
          <w:lang w:eastAsia="es-CO"/>
        </w:rPr>
        <w:t xml:space="preserve">, </w:t>
      </w:r>
      <w:hyperlink r:id="rId6" w:tooltip="Estatuto Tributario CETA" w:history="1">
        <w:r w:rsidRPr="00040D16">
          <w:rPr>
            <w:rFonts w:ascii="Segoe UI" w:eastAsia="Times New Roman" w:hAnsi="Segoe UI" w:cs="Segoe UI"/>
            <w:color w:val="0089E1"/>
            <w:szCs w:val="24"/>
            <w:lang w:eastAsia="es-CO"/>
          </w:rPr>
          <w:t>384</w:t>
        </w:r>
      </w:hyperlink>
      <w:r w:rsidRPr="00040D16">
        <w:rPr>
          <w:rFonts w:ascii="Segoe UI" w:eastAsia="Times New Roman" w:hAnsi="Segoe UI" w:cs="Segoe UI"/>
          <w:szCs w:val="24"/>
          <w:lang w:eastAsia="es-CO"/>
        </w:rPr>
        <w:t xml:space="preserve">, </w:t>
      </w:r>
      <w:hyperlink r:id="rId7" w:tooltip="Estatuto Tributario CETA" w:history="1">
        <w:r w:rsidRPr="00040D16">
          <w:rPr>
            <w:rFonts w:ascii="Segoe UI" w:eastAsia="Times New Roman" w:hAnsi="Segoe UI" w:cs="Segoe UI"/>
            <w:color w:val="0089E1"/>
            <w:szCs w:val="24"/>
            <w:lang w:eastAsia="es-CO"/>
          </w:rPr>
          <w:t>392</w:t>
        </w:r>
      </w:hyperlink>
      <w:r w:rsidRPr="00040D16">
        <w:rPr>
          <w:rFonts w:ascii="Segoe UI" w:eastAsia="Times New Roman" w:hAnsi="Segoe UI" w:cs="Segoe UI"/>
          <w:szCs w:val="24"/>
          <w:lang w:eastAsia="es-CO"/>
        </w:rPr>
        <w:t xml:space="preserve">, </w:t>
      </w:r>
      <w:hyperlink r:id="rId8" w:tooltip="Estatuto Tributario CETA" w:history="1">
        <w:r w:rsidRPr="00040D16">
          <w:rPr>
            <w:rFonts w:ascii="Segoe UI" w:eastAsia="Times New Roman" w:hAnsi="Segoe UI" w:cs="Segoe UI"/>
            <w:color w:val="0089E1"/>
            <w:szCs w:val="24"/>
            <w:lang w:eastAsia="es-CO"/>
          </w:rPr>
          <w:t>329</w:t>
        </w:r>
      </w:hyperlink>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ascii="Arial" w:eastAsia="Times New Roman" w:hAnsi="Arial" w:cs="Arial"/>
          <w:sz w:val="18"/>
          <w:szCs w:val="18"/>
          <w:lang w:eastAsia="es-CO"/>
        </w:rPr>
      </w:pPr>
      <w:r w:rsidRPr="00040D16">
        <w:rPr>
          <w:rFonts w:ascii="Segoe UI" w:eastAsia="Times New Roman" w:hAnsi="Segoe UI" w:cs="Segoe UI"/>
          <w:sz w:val="22"/>
          <w:lang w:eastAsia="es-CO"/>
        </w:rPr>
        <w:t>Cordial saludo, Sr. Figueroa:</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De conformidad con el artículo 20 del Decreto 4048 de 2008 y la Orden Administrativa 0006 de 2009, es función de esta Subdirección absolver de modo general las consultas escritas que se formulen sobre interpretación y aplicación de las normas tributarias de carácter nacional, aduaneras y cambiarias en lo de competencia de esta entidad.</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xml:space="preserve">En particular se consulta: </w:t>
      </w:r>
      <w:r w:rsidRPr="00040D16">
        <w:rPr>
          <w:rFonts w:ascii="Segoe UI" w:eastAsia="Times New Roman" w:hAnsi="Segoe UI" w:cs="Segoe UI"/>
          <w:i/>
          <w:iCs/>
          <w:szCs w:val="24"/>
          <w:lang w:eastAsia="es-CO"/>
        </w:rPr>
        <w:t>¿Cuál es el procedimiento para practicar retención en la fuente a los medios especialistas que utilizan equipos especializados y que se encuentran vinculados mediante un contrato de prestación de servicios? La calidad del médico especialista es persona natural declarante de renta.</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En comienzo, requiere precisarse que previamente el agente retenedor debe revisar la información aportada por el contribuyente para efectos de determinar si clasifica como empleado o trabajador independiente.</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xml:space="preserve">Si se trata de un contratista que no clasifica en la categoría de empleado, se deben aplicar las tarifas generales por concepto de honorarios, comisiones y servicios a que se refiere el </w:t>
      </w:r>
      <w:hyperlink r:id="rId9" w:tooltip="Estatuto Tributario CETA" w:history="1">
        <w:r w:rsidRPr="00040D16">
          <w:rPr>
            <w:rFonts w:ascii="Segoe UI" w:eastAsia="Times New Roman" w:hAnsi="Segoe UI" w:cs="Segoe UI"/>
            <w:color w:val="0089E1"/>
            <w:szCs w:val="24"/>
            <w:lang w:eastAsia="es-CO"/>
          </w:rPr>
          <w:t>artículo 392</w:t>
        </w:r>
      </w:hyperlink>
      <w:r w:rsidRPr="00040D16">
        <w:rPr>
          <w:rFonts w:ascii="Segoe UI" w:eastAsia="Times New Roman" w:hAnsi="Segoe UI" w:cs="Segoe UI"/>
          <w:szCs w:val="24"/>
          <w:lang w:eastAsia="es-CO"/>
        </w:rPr>
        <w:t xml:space="preserve"> del Estatuto Tributario.</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Lo anterior, considerando que las personas naturales residentes en el país que presten servicios en ejercicio de profesiones liberales con la utilización de equipos especializados, no clasifican en la categoría de empleados, y entonces pertenecen a la categoría de otros contribuyentes. Por ello, para efectos de retención en la fuente se acude a lo dispuesto en el parágrafo 3o del artículo 1o del Decreto Reglamentario 00099 de 2013, que señala:</w:t>
      </w:r>
    </w:p>
    <w:p w:rsidR="00040D16" w:rsidRPr="00040D16" w:rsidRDefault="00040D16" w:rsidP="00040D16">
      <w:pPr>
        <w:spacing w:line="240" w:lineRule="auto"/>
        <w:ind w:left="284"/>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ind w:left="284"/>
        <w:rPr>
          <w:rFonts w:eastAsia="Times New Roman"/>
          <w:szCs w:val="24"/>
          <w:lang w:eastAsia="es-CO"/>
        </w:rPr>
      </w:pPr>
      <w:r w:rsidRPr="00040D16">
        <w:rPr>
          <w:rFonts w:ascii="Segoe UI" w:eastAsia="Times New Roman" w:hAnsi="Segoe UI" w:cs="Segoe UI"/>
          <w:i/>
          <w:iCs/>
          <w:szCs w:val="24"/>
          <w:lang w:eastAsia="es-CO"/>
        </w:rPr>
        <w:lastRenderedPageBreak/>
        <w:t xml:space="preserve">PARÁGRAFO 3o. Los pagos o abonos en cuenta por concepto de honorarios, comisiones y servicios que efectúen los agentes de retención a contribuyentes personas naturales que no pertenezcan a la categoría de empleados, seguirán sometidos a lo previsto en el </w:t>
      </w:r>
      <w:hyperlink r:id="rId10" w:tooltip="Estatuto Tributario CETA" w:history="1">
        <w:r w:rsidRPr="00040D16">
          <w:rPr>
            <w:rFonts w:ascii="Segoe UI" w:eastAsia="Times New Roman" w:hAnsi="Segoe UI" w:cs="Segoe UI"/>
            <w:i/>
            <w:iCs/>
            <w:color w:val="0089E1"/>
            <w:szCs w:val="24"/>
            <w:lang w:eastAsia="es-CO"/>
          </w:rPr>
          <w:t>artículo 392</w:t>
        </w:r>
      </w:hyperlink>
      <w:r w:rsidRPr="00040D16">
        <w:rPr>
          <w:rFonts w:ascii="Segoe UI" w:eastAsia="Times New Roman" w:hAnsi="Segoe UI" w:cs="Segoe UI"/>
          <w:i/>
          <w:iCs/>
          <w:szCs w:val="24"/>
          <w:lang w:eastAsia="es-CO"/>
        </w:rPr>
        <w:t xml:space="preserve"> del Estatuto Tributario en concordancia con el Decreto número 260 de 2001</w:t>
      </w:r>
      <w:r w:rsidRPr="00040D16">
        <w:rPr>
          <w:rFonts w:ascii="Segoe UI" w:eastAsia="Times New Roman" w:hAnsi="Segoe UI" w:cs="Segoe UI"/>
          <w:szCs w:val="24"/>
          <w:lang w:eastAsia="es-CO"/>
        </w:rPr>
        <w:t>.</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Debe considerarse que no aplican las tarifas de retención del 2%, 4%, 6% y 8% para pagos o abonos en cuenta hasta trescientas (300) UVT, teniendo en cuenta que el artículo 13 de la Ley 1527 de 2012, fue derogado por el artículo 198 de la Ley 1607 de 2012.</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xml:space="preserve">Se recalca que lo anterior procede si se verificó previamente que no se cumple con la clasificación de empleados al tenor del </w:t>
      </w:r>
      <w:hyperlink r:id="rId11" w:tooltip="Estatuto Tributario CETA" w:history="1">
        <w:r w:rsidRPr="00040D16">
          <w:rPr>
            <w:rFonts w:ascii="Segoe UI" w:eastAsia="Times New Roman" w:hAnsi="Segoe UI" w:cs="Segoe UI"/>
            <w:color w:val="0089E1"/>
            <w:szCs w:val="24"/>
            <w:lang w:eastAsia="es-CO"/>
          </w:rPr>
          <w:t>artículo 329</w:t>
        </w:r>
      </w:hyperlink>
      <w:r w:rsidRPr="00040D16">
        <w:rPr>
          <w:rFonts w:ascii="Segoe UI" w:eastAsia="Times New Roman" w:hAnsi="Segoe UI" w:cs="Segoe UI"/>
          <w:szCs w:val="24"/>
          <w:lang w:eastAsia="es-CO"/>
        </w:rPr>
        <w:t xml:space="preserve"> del Estatuto Tributario; de ocurrir lo contrario corresponde aplicar la retención señalada en los artículos </w:t>
      </w:r>
      <w:hyperlink r:id="rId12" w:tooltip="Estatuto Tributario CETA" w:history="1">
        <w:r w:rsidRPr="00040D16">
          <w:rPr>
            <w:rFonts w:ascii="Segoe UI" w:eastAsia="Times New Roman" w:hAnsi="Segoe UI" w:cs="Segoe UI"/>
            <w:color w:val="0089E1"/>
            <w:szCs w:val="24"/>
            <w:lang w:eastAsia="es-CO"/>
          </w:rPr>
          <w:t>383</w:t>
        </w:r>
      </w:hyperlink>
      <w:r w:rsidRPr="00040D16">
        <w:rPr>
          <w:rFonts w:ascii="Segoe UI" w:eastAsia="Times New Roman" w:hAnsi="Segoe UI" w:cs="Segoe UI"/>
          <w:szCs w:val="24"/>
          <w:lang w:eastAsia="es-CO"/>
        </w:rPr>
        <w:t xml:space="preserve"> y </w:t>
      </w:r>
      <w:hyperlink r:id="rId13" w:tooltip="Estatuto Tributario CETA" w:history="1">
        <w:r w:rsidRPr="00040D16">
          <w:rPr>
            <w:rFonts w:ascii="Segoe UI" w:eastAsia="Times New Roman" w:hAnsi="Segoe UI" w:cs="Segoe UI"/>
            <w:color w:val="0089E1"/>
            <w:szCs w:val="24"/>
            <w:lang w:eastAsia="es-CO"/>
          </w:rPr>
          <w:t>384</w:t>
        </w:r>
      </w:hyperlink>
      <w:r w:rsidRPr="00040D16">
        <w:rPr>
          <w:rFonts w:ascii="Segoe UI" w:eastAsia="Times New Roman" w:hAnsi="Segoe UI" w:cs="Segoe UI"/>
          <w:szCs w:val="24"/>
          <w:lang w:eastAsia="es-CO"/>
        </w:rPr>
        <w:t xml:space="preserve"> ibídem.</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Sobre este tema le remito copia del Oficio 017857 de 26 de marzo de 2013 y 39876 de 28 de junio de 2013, con los cuales se atienden similares interrogantes sobre la retención para empleados y trabajadores independientes.</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ascii="Arial" w:eastAsia="Times New Roman" w:hAnsi="Arial" w:cs="Arial"/>
          <w:sz w:val="18"/>
          <w:szCs w:val="18"/>
          <w:lang w:eastAsia="es-CO"/>
        </w:rPr>
      </w:pPr>
      <w:bookmarkStart w:id="0" w:name="_GoBack"/>
      <w:bookmarkEnd w:id="0"/>
      <w:r w:rsidRPr="00040D16">
        <w:rPr>
          <w:rFonts w:ascii="Segoe UI" w:eastAsia="Times New Roman" w:hAnsi="Segoe UI" w:cs="Segoe UI"/>
          <w:sz w:val="22"/>
          <w:lang w:eastAsia="es-CO"/>
        </w:rPr>
        <w:t> </w:t>
      </w:r>
    </w:p>
    <w:p w:rsidR="00040D16" w:rsidRPr="00040D16" w:rsidRDefault="00040D16" w:rsidP="00040D16">
      <w:pPr>
        <w:spacing w:line="240" w:lineRule="auto"/>
        <w:rPr>
          <w:rFonts w:ascii="Arial" w:eastAsia="Times New Roman" w:hAnsi="Arial" w:cs="Arial"/>
          <w:sz w:val="18"/>
          <w:szCs w:val="18"/>
          <w:lang w:eastAsia="es-CO"/>
        </w:rPr>
      </w:pPr>
      <w:r w:rsidRPr="00040D16">
        <w:rPr>
          <w:rFonts w:ascii="Segoe UI" w:eastAsia="Times New Roman" w:hAnsi="Segoe UI" w:cs="Segoe UI"/>
          <w:sz w:val="22"/>
          <w:lang w:eastAsia="es-CO"/>
        </w:rPr>
        <w:t>Atentamente,</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 </w:t>
      </w:r>
    </w:p>
    <w:p w:rsidR="00040D16" w:rsidRPr="00040D16" w:rsidRDefault="00040D16" w:rsidP="00040D16">
      <w:pPr>
        <w:spacing w:line="240" w:lineRule="auto"/>
        <w:rPr>
          <w:rFonts w:ascii="Arial" w:eastAsia="Times New Roman" w:hAnsi="Arial" w:cs="Arial"/>
          <w:sz w:val="18"/>
          <w:szCs w:val="18"/>
          <w:lang w:eastAsia="es-CO"/>
        </w:rPr>
      </w:pPr>
      <w:r w:rsidRPr="00040D16">
        <w:rPr>
          <w:rFonts w:ascii="Segoe UI" w:eastAsia="Times New Roman" w:hAnsi="Segoe UI" w:cs="Segoe UI"/>
          <w:sz w:val="22"/>
          <w:lang w:eastAsia="es-CO"/>
        </w:rPr>
        <w:t> </w:t>
      </w:r>
    </w:p>
    <w:p w:rsidR="00040D16" w:rsidRPr="00040D16" w:rsidRDefault="00040D16" w:rsidP="00040D16">
      <w:pPr>
        <w:spacing w:line="240" w:lineRule="auto"/>
        <w:rPr>
          <w:rFonts w:ascii="Arial" w:eastAsia="Times New Roman" w:hAnsi="Arial" w:cs="Arial"/>
          <w:sz w:val="18"/>
          <w:szCs w:val="18"/>
          <w:lang w:eastAsia="es-CO"/>
        </w:rPr>
      </w:pPr>
      <w:r w:rsidRPr="00040D16">
        <w:rPr>
          <w:rFonts w:ascii="Segoe UI" w:eastAsia="Times New Roman" w:hAnsi="Segoe UI" w:cs="Segoe UI"/>
          <w:b/>
          <w:sz w:val="22"/>
          <w:lang w:eastAsia="es-CO"/>
        </w:rPr>
        <w:t>LEONOR EUGENIA RUIZ DE VILLALOBOS</w:t>
      </w:r>
    </w:p>
    <w:p w:rsidR="00040D16" w:rsidRPr="00040D16" w:rsidRDefault="00040D16" w:rsidP="00040D16">
      <w:pPr>
        <w:spacing w:line="240" w:lineRule="auto"/>
        <w:rPr>
          <w:rFonts w:eastAsia="Times New Roman"/>
          <w:szCs w:val="24"/>
          <w:lang w:eastAsia="es-CO"/>
        </w:rPr>
      </w:pPr>
      <w:r w:rsidRPr="00040D16">
        <w:rPr>
          <w:rFonts w:ascii="Segoe UI" w:eastAsia="Times New Roman" w:hAnsi="Segoe UI" w:cs="Segoe UI"/>
          <w:szCs w:val="24"/>
          <w:lang w:eastAsia="es-CO"/>
        </w:rPr>
        <w:t>Subdirectora de Gestión Normativa y Doctrina</w:t>
      </w:r>
    </w:p>
    <w:p w:rsidR="00040D16" w:rsidRPr="00040D16" w:rsidRDefault="00040D16" w:rsidP="00040D16">
      <w:pPr>
        <w:spacing w:after="285" w:line="240" w:lineRule="auto"/>
        <w:rPr>
          <w:rFonts w:ascii="Arial" w:eastAsia="Times New Roman" w:hAnsi="Arial" w:cs="Arial"/>
          <w:sz w:val="18"/>
          <w:szCs w:val="18"/>
          <w:lang w:eastAsia="es-CO"/>
        </w:rPr>
      </w:pPr>
      <w:r w:rsidRPr="00040D16">
        <w:rPr>
          <w:rFonts w:ascii="Arial" w:eastAsia="Times New Roman" w:hAnsi="Arial" w:cs="Arial"/>
          <w:sz w:val="18"/>
          <w:szCs w:val="18"/>
          <w:lang w:eastAsia="es-CO"/>
        </w:rPr>
        <w:t> </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16"/>
    <w:rsid w:val="00040D16"/>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08" TargetMode="External"/><Relationship Id="rId13" Type="http://schemas.openxmlformats.org/officeDocument/2006/relationships/hyperlink" Target="http://www.ceta.org.co/html/vista_de_un_articulo.asp?Norma=477" TargetMode="External"/><Relationship Id="rId3" Type="http://schemas.openxmlformats.org/officeDocument/2006/relationships/settings" Target="settings.xml"/><Relationship Id="rId7" Type="http://schemas.openxmlformats.org/officeDocument/2006/relationships/hyperlink" Target="http://www.ceta.org.co/html/vista_de_un_articulo.asp?Norma=486" TargetMode="External"/><Relationship Id="rId12" Type="http://schemas.openxmlformats.org/officeDocument/2006/relationships/hyperlink" Target="http://www.ceta.org.co/html/vista_de_un_articulo.asp?Norma=4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477" TargetMode="External"/><Relationship Id="rId11" Type="http://schemas.openxmlformats.org/officeDocument/2006/relationships/hyperlink" Target="http://www.ceta.org.co/html/vista_de_un_articulo.asp?Norma=408" TargetMode="External"/><Relationship Id="rId5" Type="http://schemas.openxmlformats.org/officeDocument/2006/relationships/hyperlink" Target="http://www.ceta.org.co/html/vista_de_un_articulo.asp?Norma=476" TargetMode="External"/><Relationship Id="rId15" Type="http://schemas.openxmlformats.org/officeDocument/2006/relationships/theme" Target="theme/theme1.xml"/><Relationship Id="rId10" Type="http://schemas.openxmlformats.org/officeDocument/2006/relationships/hyperlink" Target="http://www.ceta.org.co/html/vista_de_un_articulo.asp?Norma=486"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48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3440</Characters>
  <Application>Microsoft Office Word</Application>
  <DocSecurity>0</DocSecurity>
  <Lines>127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2014-01-24T16:27:00Z</dcterms:created>
  <dcterms:modified xsi:type="dcterms:W3CDTF">2014-01-24T16:29:00Z</dcterms:modified>
</cp:coreProperties>
</file>