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0F" w:rsidRPr="00CB390F" w:rsidRDefault="00CB390F" w:rsidP="00CB390F">
      <w:pPr>
        <w:spacing w:line="240" w:lineRule="auto"/>
        <w:jc w:val="center"/>
        <w:rPr>
          <w:rFonts w:eastAsia="Times New Roman"/>
          <w:szCs w:val="24"/>
          <w:lang w:eastAsia="es-CO"/>
        </w:rPr>
      </w:pPr>
      <w:r w:rsidRPr="00CB390F">
        <w:rPr>
          <w:rFonts w:eastAsia="Times New Roman"/>
          <w:b/>
          <w:bCs/>
          <w:szCs w:val="24"/>
          <w:lang w:eastAsia="es-CO"/>
        </w:rPr>
        <w:t>OFICIO N° 048807</w:t>
      </w:r>
    </w:p>
    <w:p w:rsidR="00CB390F" w:rsidRPr="00CB390F" w:rsidRDefault="00CB390F" w:rsidP="00CB390F">
      <w:pPr>
        <w:spacing w:line="240" w:lineRule="auto"/>
        <w:jc w:val="center"/>
        <w:rPr>
          <w:rFonts w:eastAsia="Times New Roman"/>
          <w:szCs w:val="24"/>
          <w:lang w:eastAsia="es-CO"/>
        </w:rPr>
      </w:pPr>
      <w:r w:rsidRPr="00CB390F">
        <w:rPr>
          <w:rFonts w:eastAsia="Times New Roman"/>
          <w:b/>
          <w:bCs/>
          <w:szCs w:val="24"/>
          <w:lang w:eastAsia="es-CO"/>
        </w:rPr>
        <w:t>12-08-2014</w:t>
      </w:r>
    </w:p>
    <w:p w:rsidR="00CB390F" w:rsidRPr="00CB390F" w:rsidRDefault="00CB390F" w:rsidP="00CB390F">
      <w:pPr>
        <w:spacing w:line="240" w:lineRule="auto"/>
        <w:jc w:val="center"/>
        <w:rPr>
          <w:rFonts w:eastAsia="Times New Roman"/>
          <w:szCs w:val="24"/>
          <w:lang w:eastAsia="es-CO"/>
        </w:rPr>
      </w:pPr>
      <w:r w:rsidRPr="00CB390F">
        <w:rPr>
          <w:rFonts w:eastAsia="Times New Roman"/>
          <w:b/>
          <w:bCs/>
          <w:szCs w:val="24"/>
          <w:lang w:eastAsia="es-CO"/>
        </w:rPr>
        <w:t>DIAN</w:t>
      </w:r>
    </w:p>
    <w:p w:rsidR="00CB390F" w:rsidRPr="00CB390F" w:rsidRDefault="00CB390F" w:rsidP="00CB390F">
      <w:pPr>
        <w:spacing w:line="240" w:lineRule="auto"/>
        <w:rPr>
          <w:rFonts w:eastAsia="Times New Roman"/>
          <w:szCs w:val="24"/>
          <w:lang w:eastAsia="es-CO"/>
        </w:rPr>
      </w:pPr>
      <w:r w:rsidRPr="00CB390F">
        <w:rPr>
          <w:rFonts w:eastAsia="Times New Roman"/>
          <w:b/>
          <w:bCs/>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b/>
          <w:bCs/>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Dirección de Gestión Jurídica</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Bogotá, D.C.</w:t>
      </w:r>
      <w:bookmarkStart w:id="0" w:name="_GoBack"/>
      <w:bookmarkEnd w:id="0"/>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100202208-925</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Doctora</w:t>
      </w:r>
    </w:p>
    <w:p w:rsidR="00CB390F" w:rsidRPr="00CB390F" w:rsidRDefault="00CB390F" w:rsidP="00CB390F">
      <w:pPr>
        <w:spacing w:line="240" w:lineRule="auto"/>
        <w:rPr>
          <w:rFonts w:eastAsia="Times New Roman"/>
          <w:szCs w:val="24"/>
          <w:lang w:eastAsia="es-CO"/>
        </w:rPr>
      </w:pPr>
      <w:r w:rsidRPr="00CB390F">
        <w:rPr>
          <w:rFonts w:eastAsia="Times New Roman"/>
          <w:b/>
          <w:bCs/>
          <w:szCs w:val="24"/>
          <w:lang w:eastAsia="es-CO"/>
        </w:rPr>
        <w:t>CECILIA RICO TORRES</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Directora de Gestión de Ingresos</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U.A.E. Dirección de Impuestos y Aduanas Nacionales – DIAN –</w:t>
      </w:r>
    </w:p>
    <w:p w:rsidR="00CB390F" w:rsidRPr="00CB390F" w:rsidRDefault="00CB390F" w:rsidP="00CB390F">
      <w:pPr>
        <w:spacing w:line="240" w:lineRule="auto"/>
        <w:rPr>
          <w:rFonts w:eastAsia="Times New Roman"/>
          <w:szCs w:val="24"/>
          <w:lang w:eastAsia="es-CO"/>
        </w:rPr>
      </w:pPr>
      <w:proofErr w:type="spellStart"/>
      <w:r w:rsidRPr="00CB390F">
        <w:rPr>
          <w:rFonts w:eastAsia="Times New Roman"/>
          <w:szCs w:val="24"/>
          <w:lang w:eastAsia="es-CO"/>
        </w:rPr>
        <w:t>Cra</w:t>
      </w:r>
      <w:proofErr w:type="spellEnd"/>
      <w:r w:rsidRPr="00CB390F">
        <w:rPr>
          <w:rFonts w:eastAsia="Times New Roman"/>
          <w:szCs w:val="24"/>
          <w:lang w:eastAsia="es-CO"/>
        </w:rPr>
        <w:t xml:space="preserve"> 8 No. 6C – 38 Piso 4°.</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Bogotá, D.C.</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proofErr w:type="spellStart"/>
      <w:r w:rsidRPr="00CB390F">
        <w:rPr>
          <w:rFonts w:eastAsia="Times New Roman"/>
          <w:b/>
          <w:bCs/>
          <w:szCs w:val="24"/>
          <w:lang w:eastAsia="es-CO"/>
        </w:rPr>
        <w:t>Ref</w:t>
      </w:r>
      <w:proofErr w:type="spellEnd"/>
      <w:r w:rsidRPr="00CB390F">
        <w:rPr>
          <w:rFonts w:eastAsia="Times New Roman"/>
          <w:b/>
          <w:bCs/>
          <w:szCs w:val="24"/>
          <w:lang w:eastAsia="es-CO"/>
        </w:rPr>
        <w:t>: </w:t>
      </w:r>
      <w:r w:rsidRPr="00CB390F">
        <w:rPr>
          <w:rFonts w:eastAsia="Times New Roman"/>
          <w:szCs w:val="24"/>
          <w:lang w:eastAsia="es-CO"/>
        </w:rPr>
        <w:t>Radicado 0244-1 del 16/06/2014</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b/>
          <w:bCs/>
          <w:szCs w:val="24"/>
          <w:lang w:eastAsia="es-CO"/>
        </w:rPr>
        <w:t>Tema </w:t>
      </w:r>
      <w:r w:rsidRPr="00CB390F">
        <w:rPr>
          <w:rFonts w:eastAsia="Times New Roman"/>
          <w:szCs w:val="24"/>
          <w:lang w:eastAsia="es-CO"/>
        </w:rPr>
        <w:t>Impuesto sobre la renta y complementarios</w:t>
      </w:r>
    </w:p>
    <w:p w:rsidR="00CB390F" w:rsidRPr="00CB390F" w:rsidRDefault="00CB390F" w:rsidP="00CB390F">
      <w:pPr>
        <w:spacing w:line="240" w:lineRule="auto"/>
        <w:rPr>
          <w:rFonts w:eastAsia="Times New Roman"/>
          <w:szCs w:val="24"/>
          <w:lang w:eastAsia="es-CO"/>
        </w:rPr>
      </w:pPr>
      <w:r w:rsidRPr="00CB390F">
        <w:rPr>
          <w:rFonts w:eastAsia="Times New Roman"/>
          <w:b/>
          <w:bCs/>
          <w:szCs w:val="24"/>
          <w:lang w:eastAsia="es-CO"/>
        </w:rPr>
        <w:t>Descriptores </w:t>
      </w:r>
      <w:r w:rsidRPr="00CB390F">
        <w:rPr>
          <w:rFonts w:eastAsia="Times New Roman"/>
          <w:szCs w:val="24"/>
          <w:lang w:eastAsia="es-CO"/>
        </w:rPr>
        <w:t>Impuesto Mínimo Alternativo Simple – IMAS –</w:t>
      </w:r>
    </w:p>
    <w:p w:rsidR="00CB390F" w:rsidRPr="00CB390F" w:rsidRDefault="00CB390F" w:rsidP="00CB390F">
      <w:pPr>
        <w:spacing w:line="240" w:lineRule="auto"/>
        <w:rPr>
          <w:rFonts w:eastAsia="Times New Roman"/>
          <w:szCs w:val="24"/>
          <w:lang w:eastAsia="es-CO"/>
        </w:rPr>
      </w:pPr>
      <w:r w:rsidRPr="00CB390F">
        <w:rPr>
          <w:rFonts w:eastAsia="Times New Roman"/>
          <w:b/>
          <w:bCs/>
          <w:szCs w:val="24"/>
          <w:lang w:eastAsia="es-CO"/>
        </w:rPr>
        <w:t>Fuentes formales </w:t>
      </w:r>
      <w:r w:rsidRPr="00CB390F">
        <w:rPr>
          <w:rFonts w:eastAsia="Times New Roman"/>
          <w:szCs w:val="24"/>
          <w:lang w:eastAsia="es-CO"/>
        </w:rPr>
        <w:t>Estatuto Tributario, arts. </w:t>
      </w:r>
      <w:hyperlink r:id="rId5" w:tooltip="Estatuto Tributario CETA" w:history="1">
        <w:r w:rsidRPr="00CB390F">
          <w:rPr>
            <w:rFonts w:eastAsia="Times New Roman"/>
            <w:szCs w:val="24"/>
            <w:lang w:eastAsia="es-CO"/>
          </w:rPr>
          <w:t>330</w:t>
        </w:r>
      </w:hyperlink>
      <w:r w:rsidRPr="00CB390F">
        <w:rPr>
          <w:rFonts w:eastAsia="Times New Roman"/>
          <w:szCs w:val="24"/>
          <w:lang w:eastAsia="es-CO"/>
        </w:rPr>
        <w:t> y </w:t>
      </w:r>
      <w:hyperlink r:id="rId6" w:tooltip="Estatuto Tributario CETA" w:history="1">
        <w:r w:rsidRPr="00CB390F">
          <w:rPr>
            <w:rFonts w:eastAsia="Times New Roman"/>
            <w:szCs w:val="24"/>
            <w:lang w:eastAsia="es-CO"/>
          </w:rPr>
          <w:t>334</w:t>
        </w:r>
      </w:hyperlink>
      <w:r w:rsidRPr="00CB390F">
        <w:rPr>
          <w:rFonts w:eastAsia="Times New Roman"/>
          <w:szCs w:val="24"/>
          <w:lang w:eastAsia="es-CO"/>
        </w:rPr>
        <w:t>; Decreto Reglamentario 1070 de 2013, art. 8°</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Cordial saludo, Dra. Cecilia:</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De conformidad con el artículo 19 del Decreto 4048 de 2008 y la Orden Administrativa 0006 de 2009, es función de esta Subdirección absolver las consultas escritas que se formulen sobre interpretación y aplicación de las normas tributarias de carácter nacional, aduaneras y cambiarias en lo de competencia de esta entidad.</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Mediante el e-mail de la referencia, nos traslada la inquietud de un usuario de la página Web, según el cual, al momento de diligenciar el Formulario 230 Declaración Anual de Impuesto Mínimo Alternativo Simple (IMAS) para Empleados, arroja mensajes contradictorios, sobre los topes que deben tener en cuenta los contribuyentes para determinar si pueden optar por presentar esta declaración.</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Al respecto, este Despacho hace las siguientes consideraciones:</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La inconsistencia planteada surge del texto de los artículos </w:t>
      </w:r>
      <w:hyperlink r:id="rId7" w:tooltip="Estatuto Tributario CETA" w:history="1">
        <w:r w:rsidRPr="00CB390F">
          <w:rPr>
            <w:rFonts w:eastAsia="Times New Roman"/>
            <w:szCs w:val="24"/>
            <w:lang w:eastAsia="es-CO"/>
          </w:rPr>
          <w:t>330</w:t>
        </w:r>
      </w:hyperlink>
      <w:r w:rsidRPr="00CB390F">
        <w:rPr>
          <w:rFonts w:eastAsia="Times New Roman"/>
          <w:szCs w:val="24"/>
          <w:lang w:eastAsia="es-CO"/>
        </w:rPr>
        <w:t> y </w:t>
      </w:r>
      <w:hyperlink r:id="rId8" w:tooltip="Estatuto Tributario CETA" w:history="1">
        <w:r w:rsidRPr="00CB390F">
          <w:rPr>
            <w:rFonts w:eastAsia="Times New Roman"/>
            <w:szCs w:val="24"/>
            <w:lang w:eastAsia="es-CO"/>
          </w:rPr>
          <w:t>334</w:t>
        </w:r>
      </w:hyperlink>
      <w:r w:rsidRPr="00CB390F">
        <w:rPr>
          <w:rFonts w:eastAsia="Times New Roman"/>
          <w:szCs w:val="24"/>
          <w:lang w:eastAsia="es-CO"/>
        </w:rPr>
        <w:t> del Estatuto Tributario, adicionados por la Ley 1607 de 2012:</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El </w:t>
      </w:r>
      <w:hyperlink r:id="rId9" w:tooltip="Estatuto Tributario CETA" w:history="1">
        <w:r w:rsidRPr="00CB390F">
          <w:rPr>
            <w:rFonts w:eastAsia="Times New Roman"/>
            <w:szCs w:val="24"/>
            <w:lang w:eastAsia="es-CO"/>
          </w:rPr>
          <w:t>artículo 330</w:t>
        </w:r>
      </w:hyperlink>
      <w:r w:rsidRPr="00CB390F">
        <w:rPr>
          <w:rFonts w:eastAsia="Times New Roman"/>
          <w:szCs w:val="24"/>
          <w:lang w:eastAsia="es-CO"/>
        </w:rPr>
        <w:t> del Estatuto Tributario, establece:</w:t>
      </w:r>
    </w:p>
    <w:p w:rsidR="00CB390F" w:rsidRPr="00CB390F" w:rsidRDefault="00CB390F" w:rsidP="00CB390F">
      <w:pPr>
        <w:spacing w:line="240" w:lineRule="auto"/>
        <w:ind w:left="284"/>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ind w:left="284"/>
        <w:rPr>
          <w:rFonts w:eastAsia="Times New Roman"/>
          <w:szCs w:val="24"/>
          <w:lang w:eastAsia="es-CO"/>
        </w:rPr>
      </w:pPr>
      <w:r w:rsidRPr="00CB390F">
        <w:rPr>
          <w:rFonts w:eastAsia="Times New Roman"/>
          <w:b/>
          <w:bCs/>
          <w:i/>
          <w:iCs/>
          <w:szCs w:val="24"/>
          <w:lang w:eastAsia="es-CO"/>
        </w:rPr>
        <w:t>“</w:t>
      </w:r>
      <w:hyperlink r:id="rId10" w:tooltip="Estatuto Tributario CETA" w:history="1">
        <w:r w:rsidRPr="00CB390F">
          <w:rPr>
            <w:rFonts w:eastAsia="Times New Roman"/>
            <w:b/>
            <w:bCs/>
            <w:i/>
            <w:iCs/>
            <w:szCs w:val="24"/>
            <w:lang w:eastAsia="es-CO"/>
          </w:rPr>
          <w:t>Artículo 330</w:t>
        </w:r>
      </w:hyperlink>
      <w:r w:rsidRPr="00CB390F">
        <w:rPr>
          <w:rFonts w:eastAsia="Times New Roman"/>
          <w:b/>
          <w:bCs/>
          <w:i/>
          <w:iCs/>
          <w:szCs w:val="24"/>
          <w:lang w:eastAsia="es-CO"/>
        </w:rPr>
        <w:t>. Sistemas de determinación del impuesto sobre la renta y complementarios para personas naturales empleados. </w:t>
      </w:r>
      <w:r w:rsidRPr="00CB390F">
        <w:rPr>
          <w:rFonts w:eastAsia="Times New Roman"/>
          <w:i/>
          <w:iCs/>
          <w:szCs w:val="24"/>
          <w:lang w:eastAsia="es-CO"/>
        </w:rPr>
        <w:t>El impuesto sobre la renta y complementarios de las personas naturales residentes en el país, clasificadas en la categoría de empleados de conformidad con el </w:t>
      </w:r>
      <w:hyperlink r:id="rId11" w:tooltip="Estatuto Tributario CETA" w:history="1">
        <w:r w:rsidRPr="00CB390F">
          <w:rPr>
            <w:rFonts w:eastAsia="Times New Roman"/>
            <w:i/>
            <w:iCs/>
            <w:szCs w:val="24"/>
            <w:lang w:eastAsia="es-CO"/>
          </w:rPr>
          <w:t>artículo 329</w:t>
        </w:r>
      </w:hyperlink>
      <w:r w:rsidRPr="00CB390F">
        <w:rPr>
          <w:rFonts w:eastAsia="Times New Roman"/>
          <w:i/>
          <w:iCs/>
          <w:szCs w:val="24"/>
          <w:lang w:eastAsia="es-CO"/>
        </w:rPr>
        <w:t> de este Estatuto, será el determinado por el sistema ordinario contemplado en el Título I del Libro I de este Estatuto, y en ningún caso podrá ser inferior al que resulte de aplicar el Impuesto Mínimo Alternativo Nacional (IMAN) a que se refiere este Capítulo. El cálculo del impuesto sobre la renta por el sistema ordinario de liquidación, no incluirá los ingresos por concepto de ganancias ocasionales para los efectos descritos en este Capítulo.</w:t>
      </w:r>
    </w:p>
    <w:p w:rsidR="00CB390F" w:rsidRPr="00CB390F" w:rsidRDefault="00CB390F" w:rsidP="00CB390F">
      <w:pPr>
        <w:spacing w:line="240" w:lineRule="auto"/>
        <w:ind w:left="284"/>
        <w:rPr>
          <w:rFonts w:eastAsia="Times New Roman"/>
          <w:szCs w:val="24"/>
          <w:lang w:eastAsia="es-CO"/>
        </w:rPr>
      </w:pPr>
      <w:r w:rsidRPr="00CB390F">
        <w:rPr>
          <w:rFonts w:eastAsia="Times New Roman"/>
          <w:i/>
          <w:iCs/>
          <w:szCs w:val="24"/>
          <w:lang w:eastAsia="es-CO"/>
        </w:rPr>
        <w:t> </w:t>
      </w:r>
    </w:p>
    <w:p w:rsidR="00CB390F" w:rsidRPr="00CB390F" w:rsidRDefault="00CB390F" w:rsidP="00CB390F">
      <w:pPr>
        <w:spacing w:line="240" w:lineRule="auto"/>
        <w:ind w:left="284"/>
        <w:rPr>
          <w:rFonts w:eastAsia="Times New Roman"/>
          <w:szCs w:val="24"/>
          <w:lang w:eastAsia="es-CO"/>
        </w:rPr>
      </w:pPr>
      <w:r w:rsidRPr="00CB390F">
        <w:rPr>
          <w:rFonts w:eastAsia="Times New Roman"/>
          <w:i/>
          <w:iCs/>
          <w:szCs w:val="24"/>
          <w:lang w:eastAsia="es-CO"/>
        </w:rPr>
        <w:t xml:space="preserve">Los empleados cuyos ingresos brutos en el respectivo año gravable sean inferiores a cuatro mil setecientas (4.700) UVT, podrán determinar el impuesto por el sistema del Impuesto Mínimo Alternativo Simple (IMAS) y ese caso no estarán obligados a </w:t>
      </w:r>
      <w:r w:rsidRPr="00CB390F">
        <w:rPr>
          <w:rFonts w:eastAsia="Times New Roman"/>
          <w:i/>
          <w:iCs/>
          <w:szCs w:val="24"/>
          <w:lang w:eastAsia="es-CO"/>
        </w:rPr>
        <w:lastRenderedPageBreak/>
        <w:t>determinar el impuesto sobre la renta y complementarios por el sistema ordinario ni por el Impuesto Mínimo Alternativo Nacional (IMAN) ….”</w:t>
      </w:r>
    </w:p>
    <w:p w:rsidR="00CB390F" w:rsidRPr="00CB390F" w:rsidRDefault="00CB390F" w:rsidP="00CB390F">
      <w:pPr>
        <w:spacing w:line="240" w:lineRule="auto"/>
        <w:rPr>
          <w:rFonts w:eastAsia="Times New Roman"/>
          <w:szCs w:val="24"/>
          <w:lang w:eastAsia="es-CO"/>
        </w:rPr>
      </w:pPr>
      <w:r w:rsidRPr="00CB390F">
        <w:rPr>
          <w:rFonts w:eastAsia="Times New Roman"/>
          <w:i/>
          <w:iCs/>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A su turno el </w:t>
      </w:r>
      <w:hyperlink r:id="rId12" w:tooltip="Estatuto Tributario CETA" w:history="1">
        <w:r w:rsidRPr="00CB390F">
          <w:rPr>
            <w:rFonts w:eastAsia="Times New Roman"/>
            <w:szCs w:val="24"/>
            <w:lang w:eastAsia="es-CO"/>
          </w:rPr>
          <w:t>artículo 334</w:t>
        </w:r>
      </w:hyperlink>
      <w:r w:rsidRPr="00CB390F">
        <w:rPr>
          <w:rFonts w:eastAsia="Times New Roman"/>
          <w:szCs w:val="24"/>
          <w:lang w:eastAsia="es-CO"/>
        </w:rPr>
        <w:t> ibídem, señala:</w:t>
      </w:r>
    </w:p>
    <w:p w:rsidR="00CB390F" w:rsidRPr="00CB390F" w:rsidRDefault="00CB390F" w:rsidP="00CB390F">
      <w:pPr>
        <w:spacing w:line="240" w:lineRule="auto"/>
        <w:ind w:left="284"/>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ind w:left="284"/>
        <w:rPr>
          <w:rFonts w:eastAsia="Times New Roman"/>
          <w:szCs w:val="24"/>
          <w:lang w:eastAsia="es-CO"/>
        </w:rPr>
      </w:pPr>
      <w:r w:rsidRPr="00CB390F">
        <w:rPr>
          <w:rFonts w:eastAsia="Times New Roman"/>
          <w:b/>
          <w:bCs/>
          <w:i/>
          <w:iCs/>
          <w:szCs w:val="24"/>
          <w:lang w:eastAsia="es-CO"/>
        </w:rPr>
        <w:t>“</w:t>
      </w:r>
      <w:hyperlink r:id="rId13" w:tooltip="Estatuto Tributario CETA" w:history="1">
        <w:r w:rsidRPr="00CB390F">
          <w:rPr>
            <w:rFonts w:eastAsia="Times New Roman"/>
            <w:b/>
            <w:bCs/>
            <w:i/>
            <w:iCs/>
            <w:szCs w:val="24"/>
            <w:lang w:eastAsia="es-CO"/>
          </w:rPr>
          <w:t>Artículo 334</w:t>
        </w:r>
      </w:hyperlink>
      <w:r w:rsidRPr="00CB390F">
        <w:rPr>
          <w:rFonts w:eastAsia="Times New Roman"/>
          <w:b/>
          <w:bCs/>
          <w:i/>
          <w:iCs/>
          <w:szCs w:val="24"/>
          <w:lang w:eastAsia="es-CO"/>
        </w:rPr>
        <w:t>. Impuesto mínimo alternativo simple (IMAS) de empleados. </w:t>
      </w:r>
      <w:r w:rsidRPr="00CB390F">
        <w:rPr>
          <w:rFonts w:eastAsia="Times New Roman"/>
          <w:i/>
          <w:iCs/>
          <w:szCs w:val="24"/>
          <w:lang w:eastAsia="es-CO"/>
        </w:rPr>
        <w:t>El Impuesto Mínimo Alternativo Simple (IMAS) es un sistema de determinación simplificado del impuesto sobre la renta y complementarios, aplicable únicamente a personas naturales residentes en el país, clasificadas en la categoría de empleado, cuya Renta Gravable Alternativa en el respectivo año gravable sean inferior a cuatro mil setecientas (4.700) UVT, y que es calculado sobre la Renta Gravable Alternativa determinada de conformidad con el sistema del Impuesto Mínimo Alternativo Nacional (IMAN), a la Renta Gravable Alternativa se le aplica la tarifa que corresponda en la siguiente tabla: …”</w:t>
      </w:r>
    </w:p>
    <w:p w:rsidR="00CB390F" w:rsidRPr="00CB390F" w:rsidRDefault="00CB390F" w:rsidP="00CB390F">
      <w:pPr>
        <w:spacing w:line="240" w:lineRule="auto"/>
        <w:rPr>
          <w:rFonts w:eastAsia="Times New Roman"/>
          <w:szCs w:val="24"/>
          <w:lang w:eastAsia="es-CO"/>
        </w:rPr>
      </w:pPr>
      <w:r w:rsidRPr="00CB390F">
        <w:rPr>
          <w:rFonts w:eastAsia="Times New Roman"/>
          <w:i/>
          <w:iCs/>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Dada la incongruencia que existe entre los artículos </w:t>
      </w:r>
      <w:hyperlink r:id="rId14" w:tooltip="Estatuto Tributario CETA" w:history="1">
        <w:r w:rsidRPr="00CB390F">
          <w:rPr>
            <w:rFonts w:eastAsia="Times New Roman"/>
            <w:szCs w:val="24"/>
            <w:lang w:eastAsia="es-CO"/>
          </w:rPr>
          <w:t>330</w:t>
        </w:r>
      </w:hyperlink>
      <w:r w:rsidRPr="00CB390F">
        <w:rPr>
          <w:rFonts w:eastAsia="Times New Roman"/>
          <w:szCs w:val="24"/>
          <w:lang w:eastAsia="es-CO"/>
        </w:rPr>
        <w:t> y </w:t>
      </w:r>
      <w:hyperlink r:id="rId15" w:tooltip="Estatuto Tributario CETA" w:history="1">
        <w:r w:rsidRPr="00CB390F">
          <w:rPr>
            <w:rFonts w:eastAsia="Times New Roman"/>
            <w:szCs w:val="24"/>
            <w:lang w:eastAsia="es-CO"/>
          </w:rPr>
          <w:t>334</w:t>
        </w:r>
      </w:hyperlink>
      <w:r w:rsidRPr="00CB390F">
        <w:rPr>
          <w:rFonts w:eastAsia="Times New Roman"/>
          <w:szCs w:val="24"/>
          <w:lang w:eastAsia="es-CO"/>
        </w:rPr>
        <w:t> del Estatuto Tributario, en cuanto el primero se refiere a ingresos brutos y el segundo habla de renta gravable alternativa, justamente lo que hizo el artículo 8° del Decreto Reglamentario 1070 de 2013, fue aclarar que solo pueden optar por el Impuesto Mínimo Alternativo Simple – IMAS – los empleados cuya Renta Gravable Alternativa – RGA – en el respectivo año gravable sea inferior a cuatro mil setecientas (4.700) UVT, independientemente del monto de los ingresos brutos obtenidos, así:</w:t>
      </w:r>
    </w:p>
    <w:p w:rsidR="00CB390F" w:rsidRPr="00CB390F" w:rsidRDefault="00CB390F" w:rsidP="00CB390F">
      <w:pPr>
        <w:spacing w:line="240" w:lineRule="auto"/>
        <w:ind w:left="284"/>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ind w:left="284"/>
        <w:rPr>
          <w:rFonts w:eastAsia="Times New Roman"/>
          <w:szCs w:val="24"/>
          <w:lang w:eastAsia="es-CO"/>
        </w:rPr>
      </w:pPr>
      <w:r w:rsidRPr="00CB390F">
        <w:rPr>
          <w:rFonts w:eastAsia="Times New Roman"/>
          <w:b/>
          <w:bCs/>
          <w:i/>
          <w:iCs/>
          <w:szCs w:val="24"/>
          <w:lang w:eastAsia="es-CO"/>
        </w:rPr>
        <w:t>“ARTÍCULO 8. Ámbito de aplicación del Impuesto Mínimo Alternativo Simple – IMAS – de empleados. </w:t>
      </w:r>
      <w:r w:rsidRPr="00CB390F">
        <w:rPr>
          <w:rFonts w:eastAsia="Times New Roman"/>
          <w:i/>
          <w:iCs/>
          <w:szCs w:val="24"/>
          <w:lang w:eastAsia="es-CO"/>
        </w:rPr>
        <w:t>El sistema del Impuesto Mínimo Alternativo Simple (IMAS) podrá ser aplicado para la determinación simplificada del Impuesto sobre la Renta de las personas naturales residentes en el país clasificadas en la categoría de empleados, </w:t>
      </w:r>
      <w:r w:rsidRPr="00CB390F">
        <w:rPr>
          <w:rFonts w:eastAsia="Times New Roman"/>
          <w:i/>
          <w:iCs/>
          <w:szCs w:val="24"/>
          <w:u w:val="single"/>
          <w:lang w:eastAsia="es-CO"/>
        </w:rPr>
        <w:t>siempre y cuando la Renta Gravable Alternativa obtenida por el empleado en el respectivo año gravable</w:t>
      </w:r>
      <w:r w:rsidRPr="00CB390F">
        <w:rPr>
          <w:rFonts w:eastAsia="Times New Roman"/>
          <w:i/>
          <w:iCs/>
          <w:szCs w:val="24"/>
          <w:lang w:eastAsia="es-CO"/>
        </w:rPr>
        <w:t>, calculada de conformidad con lo dispuesto en el </w:t>
      </w:r>
      <w:hyperlink r:id="rId16" w:tooltip="Estatuto Tributario CETA" w:history="1">
        <w:r w:rsidRPr="00CB390F">
          <w:rPr>
            <w:rFonts w:eastAsia="Times New Roman"/>
            <w:i/>
            <w:iCs/>
            <w:szCs w:val="24"/>
            <w:lang w:eastAsia="es-CO"/>
          </w:rPr>
          <w:t>artículo 332</w:t>
        </w:r>
      </w:hyperlink>
      <w:r w:rsidRPr="00CB390F">
        <w:rPr>
          <w:rFonts w:eastAsia="Times New Roman"/>
          <w:i/>
          <w:iCs/>
          <w:szCs w:val="24"/>
          <w:lang w:eastAsia="es-CO"/>
        </w:rPr>
        <w:t> del Estatuto Tributario, </w:t>
      </w:r>
      <w:r w:rsidRPr="00CB390F">
        <w:rPr>
          <w:rFonts w:eastAsia="Times New Roman"/>
          <w:i/>
          <w:iCs/>
          <w:szCs w:val="24"/>
          <w:u w:val="single"/>
          <w:lang w:eastAsia="es-CO"/>
        </w:rPr>
        <w:t>sea inferior a cuatro mil setecientas (4.700) UVT, independientemente del monto de ingresos brutos obtenidos por el empleado en el período gravable</w:t>
      </w:r>
      <w:r w:rsidRPr="00CB390F">
        <w:rPr>
          <w:rFonts w:eastAsia="Times New Roman"/>
          <w:i/>
          <w:iCs/>
          <w:szCs w:val="24"/>
          <w:lang w:eastAsia="es-CO"/>
        </w:rPr>
        <w:t>.</w:t>
      </w:r>
    </w:p>
    <w:p w:rsidR="00CB390F" w:rsidRPr="00CB390F" w:rsidRDefault="00CB390F" w:rsidP="00CB390F">
      <w:pPr>
        <w:spacing w:line="240" w:lineRule="auto"/>
        <w:ind w:left="284"/>
        <w:rPr>
          <w:rFonts w:eastAsia="Times New Roman"/>
          <w:szCs w:val="24"/>
          <w:lang w:eastAsia="es-CO"/>
        </w:rPr>
      </w:pPr>
      <w:r w:rsidRPr="00CB390F">
        <w:rPr>
          <w:rFonts w:eastAsia="Times New Roman"/>
          <w:i/>
          <w:iCs/>
          <w:szCs w:val="24"/>
          <w:lang w:eastAsia="es-CO"/>
        </w:rPr>
        <w:t> </w:t>
      </w:r>
    </w:p>
    <w:p w:rsidR="00CB390F" w:rsidRPr="00CB390F" w:rsidRDefault="00CB390F" w:rsidP="00CB390F">
      <w:pPr>
        <w:spacing w:line="240" w:lineRule="auto"/>
        <w:ind w:left="284"/>
        <w:rPr>
          <w:rFonts w:eastAsia="Times New Roman"/>
          <w:szCs w:val="24"/>
          <w:lang w:eastAsia="es-CO"/>
        </w:rPr>
      </w:pPr>
      <w:r w:rsidRPr="00CB390F">
        <w:rPr>
          <w:rFonts w:eastAsia="Times New Roman"/>
          <w:i/>
          <w:iCs/>
          <w:szCs w:val="24"/>
          <w:lang w:eastAsia="es-CO"/>
        </w:rPr>
        <w:t xml:space="preserve">El Impuesto Mínimo Alternativo Simple (IMAS) que corresponde al empleado por el año gravable será el señalado para cada nivel de Renta Gravable Alternativa según la tabla </w:t>
      </w:r>
      <w:proofErr w:type="spellStart"/>
      <w:r w:rsidRPr="00CB390F">
        <w:rPr>
          <w:rFonts w:eastAsia="Times New Roman"/>
          <w:i/>
          <w:iCs/>
          <w:szCs w:val="24"/>
          <w:lang w:eastAsia="es-CO"/>
        </w:rPr>
        <w:t>del</w:t>
      </w:r>
      <w:hyperlink r:id="rId17" w:tooltip="Estatuto Tributario CETA" w:history="1">
        <w:r w:rsidRPr="00CB390F">
          <w:rPr>
            <w:rFonts w:eastAsia="Times New Roman"/>
            <w:i/>
            <w:iCs/>
            <w:szCs w:val="24"/>
            <w:lang w:eastAsia="es-CO"/>
          </w:rPr>
          <w:t>artículo</w:t>
        </w:r>
        <w:proofErr w:type="spellEnd"/>
        <w:r w:rsidRPr="00CB390F">
          <w:rPr>
            <w:rFonts w:eastAsia="Times New Roman"/>
            <w:i/>
            <w:iCs/>
            <w:szCs w:val="24"/>
            <w:lang w:eastAsia="es-CO"/>
          </w:rPr>
          <w:t xml:space="preserve"> 334</w:t>
        </w:r>
      </w:hyperlink>
      <w:r w:rsidRPr="00CB390F">
        <w:rPr>
          <w:rFonts w:eastAsia="Times New Roman"/>
          <w:i/>
          <w:iCs/>
          <w:szCs w:val="24"/>
          <w:lang w:eastAsia="es-CO"/>
        </w:rPr>
        <w:t> del Estatuto Tributario.” </w:t>
      </w:r>
      <w:r w:rsidRPr="00CB390F">
        <w:rPr>
          <w:rFonts w:eastAsia="Times New Roman"/>
          <w:szCs w:val="24"/>
          <w:lang w:eastAsia="es-CO"/>
        </w:rPr>
        <w:t>(</w:t>
      </w:r>
      <w:proofErr w:type="gramStart"/>
      <w:r w:rsidRPr="00CB390F">
        <w:rPr>
          <w:rFonts w:eastAsia="Times New Roman"/>
          <w:szCs w:val="24"/>
          <w:lang w:eastAsia="es-CO"/>
        </w:rPr>
        <w:t>subrayado</w:t>
      </w:r>
      <w:proofErr w:type="gramEnd"/>
      <w:r w:rsidRPr="00CB390F">
        <w:rPr>
          <w:rFonts w:eastAsia="Times New Roman"/>
          <w:szCs w:val="24"/>
          <w:lang w:eastAsia="es-CO"/>
        </w:rPr>
        <w:t xml:space="preserve"> fuera de texto).</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Atentamente,</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 </w:t>
      </w:r>
    </w:p>
    <w:p w:rsidR="00CB390F" w:rsidRPr="00CB390F" w:rsidRDefault="00CB390F" w:rsidP="00CB390F">
      <w:pPr>
        <w:spacing w:line="240" w:lineRule="auto"/>
        <w:rPr>
          <w:rFonts w:eastAsia="Times New Roman"/>
          <w:szCs w:val="24"/>
          <w:lang w:eastAsia="es-CO"/>
        </w:rPr>
      </w:pPr>
      <w:r w:rsidRPr="00CB390F">
        <w:rPr>
          <w:rFonts w:eastAsia="Times New Roman"/>
          <w:b/>
          <w:bCs/>
          <w:szCs w:val="24"/>
          <w:lang w:eastAsia="es-CO"/>
        </w:rPr>
        <w:t>DALILA ASTRID HERNÁNDEZ CORZO</w:t>
      </w:r>
    </w:p>
    <w:p w:rsidR="00CB390F" w:rsidRPr="00CB390F" w:rsidRDefault="00CB390F" w:rsidP="00CB390F">
      <w:pPr>
        <w:spacing w:line="240" w:lineRule="auto"/>
        <w:rPr>
          <w:rFonts w:eastAsia="Times New Roman"/>
          <w:szCs w:val="24"/>
          <w:lang w:eastAsia="es-CO"/>
        </w:rPr>
      </w:pPr>
      <w:r w:rsidRPr="00CB390F">
        <w:rPr>
          <w:rFonts w:eastAsia="Times New Roman"/>
          <w:szCs w:val="24"/>
          <w:lang w:eastAsia="es-CO"/>
        </w:rPr>
        <w:t>Directora de Gestión Jurídica</w:t>
      </w:r>
    </w:p>
    <w:p w:rsidR="00B51D80" w:rsidRPr="00CB390F" w:rsidRDefault="00B51D80">
      <w:pPr>
        <w:rPr>
          <w:szCs w:val="24"/>
        </w:rPr>
      </w:pPr>
    </w:p>
    <w:sectPr w:rsidR="00B51D80" w:rsidRPr="00CB390F"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0F"/>
    <w:rsid w:val="00A067C7"/>
    <w:rsid w:val="00B51D80"/>
    <w:rsid w:val="00CB3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13" TargetMode="External"/><Relationship Id="rId13" Type="http://schemas.openxmlformats.org/officeDocument/2006/relationships/hyperlink" Target="http://www.ceta.org.co/html/vista_de_un_articulo.asp?Norma=4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409" TargetMode="External"/><Relationship Id="rId12" Type="http://schemas.openxmlformats.org/officeDocument/2006/relationships/hyperlink" Target="http://www.ceta.org.co/html/vista_de_un_articulo.asp?Norma=413" TargetMode="External"/><Relationship Id="rId17" Type="http://schemas.openxmlformats.org/officeDocument/2006/relationships/hyperlink" Target="http://www.ceta.org.co/html/vista_de_un_articulo.asp?Norma=413"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411" TargetMode="External"/><Relationship Id="rId1" Type="http://schemas.openxmlformats.org/officeDocument/2006/relationships/styles" Target="styles.xml"/><Relationship Id="rId6" Type="http://schemas.openxmlformats.org/officeDocument/2006/relationships/hyperlink" Target="http://www.ceta.org.co/html/vista_de_un_articulo.asp?Norma=413" TargetMode="External"/><Relationship Id="rId11" Type="http://schemas.openxmlformats.org/officeDocument/2006/relationships/hyperlink" Target="http://www.ceta.org.co/html/vista_de_un_articulo.asp?Norma=408" TargetMode="External"/><Relationship Id="rId5" Type="http://schemas.openxmlformats.org/officeDocument/2006/relationships/hyperlink" Target="http://www.ceta.org.co/html/vista_de_un_articulo.asp?Norma=409" TargetMode="External"/><Relationship Id="rId15" Type="http://schemas.openxmlformats.org/officeDocument/2006/relationships/hyperlink" Target="http://www.ceta.org.co/html/vista_de_un_articulo.asp?Norma=413" TargetMode="External"/><Relationship Id="rId10" Type="http://schemas.openxmlformats.org/officeDocument/2006/relationships/hyperlink" Target="http://www.ceta.org.co/html/vista_de_un_articulo.asp?Norma=4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ta.org.co/html/vista_de_un_articulo.asp?Norma=409" TargetMode="External"/><Relationship Id="rId14" Type="http://schemas.openxmlformats.org/officeDocument/2006/relationships/hyperlink" Target="http://www.ceta.org.co/html/vista_de_un_articulo.asp?Norma=4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971</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2014-09-21T01:13:00Z</dcterms:created>
  <dcterms:modified xsi:type="dcterms:W3CDTF">2014-09-21T01:16:00Z</dcterms:modified>
</cp:coreProperties>
</file>