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EF4" w:rsidRPr="009C2A40" w:rsidRDefault="00C84EF4" w:rsidP="00C84EF4">
      <w:pPr>
        <w:spacing w:line="240" w:lineRule="auto"/>
        <w:jc w:val="center"/>
        <w:rPr>
          <w:rFonts w:eastAsia="Times New Roman"/>
          <w:szCs w:val="24"/>
          <w:lang w:eastAsia="es-CO"/>
        </w:rPr>
      </w:pPr>
      <w:r w:rsidRPr="009C2A40">
        <w:rPr>
          <w:rFonts w:eastAsia="Times New Roman"/>
          <w:b/>
          <w:bCs/>
          <w:szCs w:val="24"/>
          <w:lang w:eastAsia="es-CO"/>
        </w:rPr>
        <w:t>OFICIO N° 040924</w:t>
      </w:r>
    </w:p>
    <w:p w:rsidR="00C84EF4" w:rsidRPr="009C2A40" w:rsidRDefault="00C84EF4" w:rsidP="00C84EF4">
      <w:pPr>
        <w:spacing w:line="240" w:lineRule="auto"/>
        <w:jc w:val="center"/>
        <w:rPr>
          <w:rFonts w:eastAsia="Times New Roman"/>
          <w:szCs w:val="24"/>
          <w:lang w:eastAsia="es-CO"/>
        </w:rPr>
      </w:pPr>
      <w:r w:rsidRPr="009C2A40">
        <w:rPr>
          <w:rFonts w:eastAsia="Times New Roman"/>
          <w:b/>
          <w:bCs/>
          <w:szCs w:val="24"/>
          <w:lang w:eastAsia="es-CO"/>
        </w:rPr>
        <w:t>11-07-2014</w:t>
      </w:r>
    </w:p>
    <w:p w:rsidR="00C84EF4" w:rsidRPr="009C2A40" w:rsidRDefault="00C84EF4" w:rsidP="00C84EF4">
      <w:pPr>
        <w:shd w:val="clear" w:color="auto" w:fill="FFFFFF"/>
        <w:spacing w:line="240" w:lineRule="auto"/>
        <w:jc w:val="center"/>
        <w:rPr>
          <w:rFonts w:eastAsia="Times New Roman"/>
          <w:szCs w:val="24"/>
          <w:lang w:eastAsia="es-CO"/>
        </w:rPr>
      </w:pPr>
      <w:r w:rsidRPr="009C2A40">
        <w:rPr>
          <w:rFonts w:eastAsia="Times New Roman"/>
          <w:b/>
          <w:bCs/>
          <w:szCs w:val="24"/>
          <w:lang w:eastAsia="es-CO"/>
        </w:rPr>
        <w:t>DIAN</w:t>
      </w:r>
    </w:p>
    <w:p w:rsidR="00C84EF4" w:rsidRPr="009C2A40" w:rsidRDefault="00C84EF4" w:rsidP="00C84EF4">
      <w:pPr>
        <w:shd w:val="clear" w:color="auto" w:fill="FFFFFF"/>
        <w:spacing w:line="240" w:lineRule="auto"/>
        <w:rPr>
          <w:rFonts w:eastAsia="Times New Roman"/>
          <w:szCs w:val="24"/>
          <w:lang w:eastAsia="es-CO"/>
        </w:rPr>
      </w:pPr>
      <w:r w:rsidRPr="009C2A40">
        <w:rPr>
          <w:rFonts w:eastAsia="Times New Roman"/>
          <w:b/>
          <w:bCs/>
          <w:szCs w:val="24"/>
          <w:lang w:eastAsia="es-CO"/>
        </w:rPr>
        <w:t> </w:t>
      </w:r>
    </w:p>
    <w:p w:rsidR="00C84EF4" w:rsidRPr="009C2A40" w:rsidRDefault="00C84EF4" w:rsidP="00C84EF4">
      <w:pPr>
        <w:shd w:val="clear" w:color="auto" w:fill="FFFFFF"/>
        <w:spacing w:line="240" w:lineRule="auto"/>
        <w:rPr>
          <w:rFonts w:eastAsia="Times New Roman"/>
          <w:szCs w:val="24"/>
          <w:lang w:eastAsia="es-CO"/>
        </w:rPr>
      </w:pPr>
      <w:r w:rsidRPr="009C2A40">
        <w:rPr>
          <w:rFonts w:eastAsia="Times New Roman"/>
          <w:b/>
          <w:bCs/>
          <w:szCs w:val="24"/>
          <w:lang w:eastAsia="es-CO"/>
        </w:rPr>
        <w:t> </w:t>
      </w:r>
    </w:p>
    <w:p w:rsidR="00C84EF4" w:rsidRPr="009C2A40" w:rsidRDefault="00C84EF4" w:rsidP="00C84EF4">
      <w:pPr>
        <w:shd w:val="clear" w:color="auto" w:fill="FFFFFF"/>
        <w:spacing w:line="240" w:lineRule="auto"/>
        <w:rPr>
          <w:rFonts w:eastAsia="Times New Roman"/>
          <w:szCs w:val="24"/>
          <w:lang w:eastAsia="es-CO"/>
        </w:rPr>
      </w:pPr>
      <w:r w:rsidRPr="009C2A40">
        <w:rPr>
          <w:rFonts w:eastAsia="Times New Roman"/>
          <w:szCs w:val="24"/>
          <w:lang w:eastAsia="es-CO"/>
        </w:rPr>
        <w:t>Subdirección de Gestión Normativa y Doctrina</w:t>
      </w:r>
    </w:p>
    <w:p w:rsidR="00C84EF4" w:rsidRPr="009C2A40" w:rsidRDefault="00C84EF4" w:rsidP="00C84EF4">
      <w:pPr>
        <w:shd w:val="clear" w:color="auto" w:fill="FFFFFF"/>
        <w:spacing w:line="240" w:lineRule="auto"/>
        <w:rPr>
          <w:rFonts w:eastAsia="Times New Roman"/>
          <w:szCs w:val="24"/>
          <w:lang w:eastAsia="es-CO"/>
        </w:rPr>
      </w:pPr>
      <w:r w:rsidRPr="009C2A40">
        <w:rPr>
          <w:rFonts w:eastAsia="Times New Roman"/>
          <w:szCs w:val="24"/>
          <w:lang w:eastAsia="es-CO"/>
        </w:rPr>
        <w:t>Bogotá D.C.</w:t>
      </w:r>
    </w:p>
    <w:p w:rsidR="00C84EF4" w:rsidRPr="009C2A40" w:rsidRDefault="00C84EF4" w:rsidP="00C84EF4">
      <w:pPr>
        <w:shd w:val="clear" w:color="auto" w:fill="FFFFFF"/>
        <w:spacing w:line="240" w:lineRule="auto"/>
        <w:rPr>
          <w:rFonts w:eastAsia="Times New Roman"/>
          <w:szCs w:val="24"/>
          <w:lang w:eastAsia="es-CO"/>
        </w:rPr>
      </w:pPr>
      <w:r w:rsidRPr="009C2A40">
        <w:rPr>
          <w:rFonts w:eastAsia="Times New Roman"/>
          <w:szCs w:val="24"/>
          <w:lang w:eastAsia="es-CO"/>
        </w:rPr>
        <w:t>100208221- 000525</w:t>
      </w:r>
    </w:p>
    <w:p w:rsidR="00C84EF4" w:rsidRPr="009C2A40" w:rsidRDefault="00C84EF4" w:rsidP="00C84EF4">
      <w:pPr>
        <w:shd w:val="clear" w:color="auto" w:fill="FFFFFF"/>
        <w:spacing w:line="240" w:lineRule="auto"/>
        <w:rPr>
          <w:rFonts w:eastAsia="Times New Roman"/>
          <w:szCs w:val="24"/>
          <w:lang w:eastAsia="es-CO"/>
        </w:rPr>
      </w:pPr>
      <w:r w:rsidRPr="009C2A40">
        <w:rPr>
          <w:rFonts w:eastAsia="Times New Roman"/>
          <w:szCs w:val="24"/>
          <w:lang w:eastAsia="es-CO"/>
        </w:rPr>
        <w:t> </w:t>
      </w:r>
    </w:p>
    <w:p w:rsidR="00C84EF4" w:rsidRPr="009C2A40" w:rsidRDefault="00C84EF4" w:rsidP="00C84EF4">
      <w:pPr>
        <w:shd w:val="clear" w:color="auto" w:fill="FFFFFF"/>
        <w:spacing w:line="240" w:lineRule="auto"/>
        <w:rPr>
          <w:rFonts w:eastAsia="Times New Roman"/>
          <w:szCs w:val="24"/>
          <w:lang w:eastAsia="es-CO"/>
        </w:rPr>
      </w:pPr>
      <w:r w:rsidRPr="009C2A40">
        <w:rPr>
          <w:rFonts w:eastAsia="Times New Roman"/>
          <w:szCs w:val="24"/>
          <w:lang w:eastAsia="es-CO"/>
        </w:rPr>
        <w:t>Señor</w:t>
      </w:r>
      <w:bookmarkStart w:id="0" w:name="_GoBack"/>
      <w:bookmarkEnd w:id="0"/>
    </w:p>
    <w:p w:rsidR="00C84EF4" w:rsidRPr="009C2A40" w:rsidRDefault="00C84EF4" w:rsidP="00C84EF4">
      <w:pPr>
        <w:shd w:val="clear" w:color="auto" w:fill="FFFFFF"/>
        <w:spacing w:line="240" w:lineRule="auto"/>
        <w:rPr>
          <w:rFonts w:eastAsia="Times New Roman"/>
          <w:szCs w:val="24"/>
          <w:lang w:eastAsia="es-CO"/>
        </w:rPr>
      </w:pPr>
      <w:r w:rsidRPr="009C2A40">
        <w:rPr>
          <w:rFonts w:eastAsia="Times New Roman"/>
          <w:b/>
          <w:bCs/>
          <w:szCs w:val="24"/>
          <w:lang w:eastAsia="es-CO"/>
        </w:rPr>
        <w:t xml:space="preserve">JOHN ALIRIO PINZÓN </w:t>
      </w:r>
      <w:proofErr w:type="spellStart"/>
      <w:r w:rsidRPr="009C2A40">
        <w:rPr>
          <w:rFonts w:eastAsia="Times New Roman"/>
          <w:b/>
          <w:bCs/>
          <w:szCs w:val="24"/>
          <w:lang w:eastAsia="es-CO"/>
        </w:rPr>
        <w:t>PINZÓN</w:t>
      </w:r>
      <w:proofErr w:type="spellEnd"/>
    </w:p>
    <w:p w:rsidR="00C84EF4" w:rsidRPr="009C2A40" w:rsidRDefault="009C2A40" w:rsidP="00C84EF4">
      <w:pPr>
        <w:shd w:val="clear" w:color="auto" w:fill="FFFFFF"/>
        <w:spacing w:line="240" w:lineRule="auto"/>
        <w:rPr>
          <w:rFonts w:eastAsia="Times New Roman"/>
          <w:szCs w:val="24"/>
          <w:lang w:eastAsia="es-CO"/>
        </w:rPr>
      </w:pPr>
      <w:hyperlink r:id="rId5" w:history="1">
        <w:r w:rsidR="00C84EF4" w:rsidRPr="009C2A40">
          <w:rPr>
            <w:rFonts w:eastAsia="Times New Roman"/>
            <w:szCs w:val="24"/>
            <w:lang w:eastAsia="es-CO"/>
          </w:rPr>
          <w:t>j_pinzon2007@hotmail.com</w:t>
        </w:r>
      </w:hyperlink>
    </w:p>
    <w:p w:rsidR="00C84EF4" w:rsidRPr="009C2A40" w:rsidRDefault="00C84EF4" w:rsidP="00C84EF4">
      <w:pPr>
        <w:shd w:val="clear" w:color="auto" w:fill="FFFFFF"/>
        <w:spacing w:line="240" w:lineRule="auto"/>
        <w:rPr>
          <w:rFonts w:eastAsia="Times New Roman"/>
          <w:szCs w:val="24"/>
          <w:lang w:eastAsia="es-CO"/>
        </w:rPr>
      </w:pPr>
      <w:r w:rsidRPr="009C2A40">
        <w:rPr>
          <w:rFonts w:eastAsia="Times New Roman"/>
          <w:szCs w:val="24"/>
          <w:lang w:eastAsia="es-CO"/>
        </w:rPr>
        <w:t>Carrera 3° A No. 54A-82</w:t>
      </w:r>
    </w:p>
    <w:p w:rsidR="00C84EF4" w:rsidRPr="009C2A40" w:rsidRDefault="00C84EF4" w:rsidP="00C84EF4">
      <w:pPr>
        <w:shd w:val="clear" w:color="auto" w:fill="FFFFFF"/>
        <w:spacing w:line="240" w:lineRule="auto"/>
        <w:rPr>
          <w:rFonts w:eastAsia="Times New Roman"/>
          <w:szCs w:val="24"/>
          <w:lang w:eastAsia="es-CO"/>
        </w:rPr>
      </w:pPr>
      <w:r w:rsidRPr="009C2A40">
        <w:rPr>
          <w:rFonts w:eastAsia="Times New Roman"/>
          <w:szCs w:val="24"/>
          <w:lang w:eastAsia="es-CO"/>
        </w:rPr>
        <w:t>Bogotá D.C.</w:t>
      </w:r>
    </w:p>
    <w:p w:rsidR="00C84EF4" w:rsidRPr="009C2A40" w:rsidRDefault="00C84EF4" w:rsidP="00C84EF4">
      <w:pPr>
        <w:shd w:val="clear" w:color="auto" w:fill="FFFFFF"/>
        <w:spacing w:line="240" w:lineRule="auto"/>
        <w:rPr>
          <w:rFonts w:eastAsia="Times New Roman"/>
          <w:szCs w:val="24"/>
          <w:lang w:eastAsia="es-CO"/>
        </w:rPr>
      </w:pPr>
      <w:r w:rsidRPr="009C2A40">
        <w:rPr>
          <w:rFonts w:eastAsia="Times New Roman"/>
          <w:szCs w:val="24"/>
          <w:lang w:eastAsia="es-CO"/>
        </w:rPr>
        <w:t> </w:t>
      </w:r>
    </w:p>
    <w:p w:rsidR="00C84EF4" w:rsidRPr="009C2A40" w:rsidRDefault="00C84EF4" w:rsidP="00C84EF4">
      <w:pPr>
        <w:spacing w:line="240" w:lineRule="auto"/>
        <w:rPr>
          <w:rFonts w:eastAsia="Times New Roman"/>
          <w:szCs w:val="24"/>
          <w:lang w:eastAsia="es-CO"/>
        </w:rPr>
      </w:pPr>
      <w:r w:rsidRPr="009C2A40">
        <w:rPr>
          <w:rFonts w:eastAsia="Times New Roman"/>
          <w:b/>
          <w:bCs/>
          <w:szCs w:val="24"/>
          <w:lang w:eastAsia="es-CO"/>
        </w:rPr>
        <w:t>Ref.:</w:t>
      </w:r>
      <w:r w:rsidRPr="009C2A40">
        <w:rPr>
          <w:rFonts w:eastAsia="Times New Roman"/>
          <w:szCs w:val="24"/>
          <w:lang w:eastAsia="es-CO"/>
        </w:rPr>
        <w:t> Radicado No. 28245 del 5 de mayo de 2014</w:t>
      </w:r>
    </w:p>
    <w:p w:rsidR="00C84EF4" w:rsidRPr="009C2A40" w:rsidRDefault="00C84EF4" w:rsidP="00C84EF4">
      <w:pPr>
        <w:spacing w:line="240" w:lineRule="auto"/>
        <w:rPr>
          <w:rFonts w:eastAsia="Times New Roman"/>
          <w:szCs w:val="24"/>
          <w:lang w:eastAsia="es-CO"/>
        </w:rPr>
      </w:pPr>
      <w:r w:rsidRPr="009C2A40">
        <w:rPr>
          <w:rFonts w:eastAsia="Times New Roman"/>
          <w:szCs w:val="24"/>
          <w:lang w:eastAsia="es-CO"/>
        </w:rPr>
        <w:t> </w:t>
      </w:r>
    </w:p>
    <w:p w:rsidR="00C84EF4" w:rsidRPr="009C2A40" w:rsidRDefault="00C84EF4" w:rsidP="00C84EF4">
      <w:pPr>
        <w:spacing w:line="240" w:lineRule="auto"/>
        <w:rPr>
          <w:rFonts w:eastAsia="Times New Roman"/>
          <w:szCs w:val="24"/>
          <w:lang w:eastAsia="es-CO"/>
        </w:rPr>
      </w:pPr>
      <w:r w:rsidRPr="009C2A40">
        <w:rPr>
          <w:rFonts w:eastAsia="Times New Roman"/>
          <w:b/>
          <w:bCs/>
          <w:szCs w:val="24"/>
          <w:lang w:eastAsia="es-CO"/>
        </w:rPr>
        <w:t>Tema:</w:t>
      </w:r>
      <w:r w:rsidRPr="009C2A40">
        <w:rPr>
          <w:rFonts w:eastAsia="Times New Roman"/>
          <w:szCs w:val="24"/>
          <w:lang w:eastAsia="es-CO"/>
        </w:rPr>
        <w:t> Impuesto sobre la renta y complementarios</w:t>
      </w:r>
    </w:p>
    <w:p w:rsidR="00C84EF4" w:rsidRPr="009C2A40" w:rsidRDefault="00C84EF4" w:rsidP="00C84EF4">
      <w:pPr>
        <w:spacing w:line="240" w:lineRule="auto"/>
        <w:rPr>
          <w:rFonts w:eastAsia="Times New Roman"/>
          <w:b/>
          <w:bCs/>
          <w:szCs w:val="24"/>
          <w:lang w:eastAsia="es-CO"/>
        </w:rPr>
      </w:pPr>
    </w:p>
    <w:p w:rsidR="00C84EF4" w:rsidRPr="009C2A40" w:rsidRDefault="00C84EF4" w:rsidP="00C84EF4">
      <w:pPr>
        <w:spacing w:line="240" w:lineRule="auto"/>
        <w:rPr>
          <w:rFonts w:eastAsia="Times New Roman"/>
          <w:szCs w:val="24"/>
          <w:lang w:eastAsia="es-CO"/>
        </w:rPr>
      </w:pPr>
      <w:r w:rsidRPr="009C2A40">
        <w:rPr>
          <w:rFonts w:eastAsia="Times New Roman"/>
          <w:b/>
          <w:bCs/>
          <w:szCs w:val="24"/>
          <w:lang w:eastAsia="es-CO"/>
        </w:rPr>
        <w:t>Descriptores:</w:t>
      </w:r>
      <w:r w:rsidRPr="009C2A40">
        <w:rPr>
          <w:rFonts w:eastAsia="Times New Roman"/>
          <w:szCs w:val="24"/>
          <w:lang w:eastAsia="es-CO"/>
        </w:rPr>
        <w:t> Ingresos de fuente extranjera, Patrimonio bruto, Patrimonio líquido gravable, Valor patrimonial, Descuentos tributarios por impuestos pagados en el exterior, Deducción de los aportes obligatorios, Deducción de gastos efectuados en el exterior.</w:t>
      </w:r>
    </w:p>
    <w:p w:rsidR="00C84EF4" w:rsidRPr="009C2A40" w:rsidRDefault="00C84EF4" w:rsidP="00C84EF4">
      <w:pPr>
        <w:spacing w:line="240" w:lineRule="auto"/>
        <w:rPr>
          <w:rFonts w:eastAsia="Times New Roman"/>
          <w:szCs w:val="24"/>
          <w:lang w:eastAsia="es-CO"/>
        </w:rPr>
      </w:pPr>
    </w:p>
    <w:p w:rsidR="00C84EF4" w:rsidRPr="009C2A40" w:rsidRDefault="00C84EF4" w:rsidP="00C84EF4">
      <w:pPr>
        <w:spacing w:line="240" w:lineRule="auto"/>
        <w:rPr>
          <w:rFonts w:eastAsia="Times New Roman"/>
          <w:szCs w:val="24"/>
          <w:lang w:eastAsia="es-CO"/>
        </w:rPr>
      </w:pPr>
      <w:r w:rsidRPr="009C2A40">
        <w:rPr>
          <w:rFonts w:eastAsia="Times New Roman"/>
          <w:b/>
          <w:bCs/>
          <w:szCs w:val="24"/>
          <w:lang w:eastAsia="es-CO"/>
        </w:rPr>
        <w:t>Fuentesformales:</w:t>
      </w:r>
      <w:r w:rsidRPr="009C2A40">
        <w:rPr>
          <w:rFonts w:eastAsia="Times New Roman"/>
          <w:szCs w:val="24"/>
          <w:lang w:eastAsia="es-CO"/>
        </w:rPr>
        <w:t> Artículos </w:t>
      </w:r>
      <w:hyperlink r:id="rId6" w:tooltip="Estatuto Tributario CETA" w:history="1">
        <w:r w:rsidRPr="009C2A40">
          <w:rPr>
            <w:rFonts w:eastAsia="Times New Roman"/>
            <w:szCs w:val="24"/>
            <w:lang w:eastAsia="es-CO"/>
          </w:rPr>
          <w:t>9</w:t>
        </w:r>
      </w:hyperlink>
      <w:r w:rsidRPr="009C2A40">
        <w:rPr>
          <w:rFonts w:eastAsia="Times New Roman"/>
          <w:szCs w:val="24"/>
          <w:lang w:eastAsia="es-CO"/>
        </w:rPr>
        <w:t>, </w:t>
      </w:r>
      <w:hyperlink r:id="rId7" w:tooltip="Estatuto Tributario CETA" w:history="1">
        <w:r w:rsidRPr="009C2A40">
          <w:rPr>
            <w:rFonts w:eastAsia="Times New Roman"/>
            <w:szCs w:val="24"/>
            <w:lang w:eastAsia="es-CO"/>
          </w:rPr>
          <w:t>107</w:t>
        </w:r>
      </w:hyperlink>
      <w:r w:rsidRPr="009C2A40">
        <w:rPr>
          <w:rFonts w:eastAsia="Times New Roman"/>
          <w:szCs w:val="24"/>
          <w:lang w:eastAsia="es-CO"/>
        </w:rPr>
        <w:t>, </w:t>
      </w:r>
      <w:hyperlink r:id="rId8" w:tooltip="Estatuto Tributario CETA" w:history="1">
        <w:r w:rsidRPr="009C2A40">
          <w:rPr>
            <w:rFonts w:eastAsia="Times New Roman"/>
            <w:szCs w:val="24"/>
            <w:lang w:eastAsia="es-CO"/>
          </w:rPr>
          <w:t>1261</w:t>
        </w:r>
      </w:hyperlink>
      <w:r w:rsidRPr="009C2A40">
        <w:rPr>
          <w:rFonts w:eastAsia="Times New Roman"/>
          <w:szCs w:val="24"/>
          <w:lang w:eastAsia="es-CO"/>
        </w:rPr>
        <w:t>, </w:t>
      </w:r>
      <w:hyperlink r:id="rId9" w:tooltip="Estatuto Tributario CETA" w:history="1">
        <w:r w:rsidRPr="009C2A40">
          <w:rPr>
            <w:rFonts w:eastAsia="Times New Roman"/>
            <w:szCs w:val="24"/>
            <w:lang w:eastAsia="es-CO"/>
          </w:rPr>
          <w:t>188</w:t>
        </w:r>
      </w:hyperlink>
      <w:r w:rsidRPr="009C2A40">
        <w:rPr>
          <w:rFonts w:eastAsia="Times New Roman"/>
          <w:szCs w:val="24"/>
          <w:lang w:eastAsia="es-CO"/>
        </w:rPr>
        <w:t>, </w:t>
      </w:r>
      <w:hyperlink r:id="rId10" w:tooltip="Estatuto Tributario CETA" w:history="1">
        <w:r w:rsidRPr="009C2A40">
          <w:rPr>
            <w:rFonts w:eastAsia="Times New Roman"/>
            <w:szCs w:val="24"/>
            <w:lang w:eastAsia="es-CO"/>
          </w:rPr>
          <w:t>206</w:t>
        </w:r>
      </w:hyperlink>
      <w:r w:rsidRPr="009C2A40">
        <w:rPr>
          <w:rFonts w:eastAsia="Times New Roman"/>
          <w:szCs w:val="24"/>
          <w:lang w:eastAsia="es-CO"/>
        </w:rPr>
        <w:t>, </w:t>
      </w:r>
      <w:hyperlink r:id="rId11" w:tooltip="Estatuto Tributario CETA" w:history="1">
        <w:r w:rsidRPr="009C2A40">
          <w:rPr>
            <w:rFonts w:eastAsia="Times New Roman"/>
            <w:szCs w:val="24"/>
            <w:lang w:eastAsia="es-CO"/>
          </w:rPr>
          <w:t>254</w:t>
        </w:r>
      </w:hyperlink>
      <w:r w:rsidRPr="009C2A40">
        <w:rPr>
          <w:rFonts w:eastAsia="Times New Roman"/>
          <w:szCs w:val="24"/>
          <w:lang w:eastAsia="es-CO"/>
        </w:rPr>
        <w:t>, </w:t>
      </w:r>
      <w:hyperlink r:id="rId12" w:tooltip="Estatuto Tributario CETA" w:history="1">
        <w:r w:rsidRPr="009C2A40">
          <w:rPr>
            <w:rFonts w:eastAsia="Times New Roman"/>
            <w:szCs w:val="24"/>
            <w:lang w:eastAsia="es-CO"/>
          </w:rPr>
          <w:t>259</w:t>
        </w:r>
      </w:hyperlink>
      <w:r w:rsidRPr="009C2A40">
        <w:rPr>
          <w:rFonts w:eastAsia="Times New Roman"/>
          <w:szCs w:val="24"/>
          <w:lang w:eastAsia="es-CO"/>
        </w:rPr>
        <w:t>, </w:t>
      </w:r>
      <w:hyperlink r:id="rId13" w:tooltip="Estatuto Tributario CETA" w:history="1">
        <w:r w:rsidRPr="009C2A40">
          <w:rPr>
            <w:rFonts w:eastAsia="Times New Roman"/>
            <w:szCs w:val="24"/>
            <w:lang w:eastAsia="es-CO"/>
          </w:rPr>
          <w:t>261</w:t>
        </w:r>
      </w:hyperlink>
      <w:r w:rsidRPr="009C2A40">
        <w:rPr>
          <w:rFonts w:eastAsia="Times New Roman"/>
          <w:szCs w:val="24"/>
          <w:lang w:eastAsia="es-CO"/>
        </w:rPr>
        <w:t>, </w:t>
      </w:r>
      <w:hyperlink r:id="rId14" w:tooltip="Estatuto Tributario CETA" w:history="1">
        <w:r w:rsidRPr="009C2A40">
          <w:rPr>
            <w:rFonts w:eastAsia="Times New Roman"/>
            <w:szCs w:val="24"/>
            <w:lang w:eastAsia="es-CO"/>
          </w:rPr>
          <w:t>269</w:t>
        </w:r>
      </w:hyperlink>
      <w:r w:rsidRPr="009C2A40">
        <w:rPr>
          <w:rFonts w:eastAsia="Times New Roman"/>
          <w:szCs w:val="24"/>
          <w:lang w:eastAsia="es-CO"/>
        </w:rPr>
        <w:t>, </w:t>
      </w:r>
      <w:hyperlink r:id="rId15" w:tooltip="Estatuto Tributario CETA" w:history="1">
        <w:r w:rsidRPr="009C2A40">
          <w:rPr>
            <w:rFonts w:eastAsia="Times New Roman"/>
            <w:szCs w:val="24"/>
            <w:lang w:eastAsia="es-CO"/>
          </w:rPr>
          <w:t>282</w:t>
        </w:r>
      </w:hyperlink>
      <w:r w:rsidRPr="009C2A40">
        <w:rPr>
          <w:rFonts w:eastAsia="Times New Roman"/>
          <w:szCs w:val="24"/>
          <w:lang w:eastAsia="es-CO"/>
        </w:rPr>
        <w:t>, </w:t>
      </w:r>
      <w:hyperlink r:id="rId16" w:tooltip="Estatuto Tributario CETA" w:history="1">
        <w:r w:rsidRPr="009C2A40">
          <w:rPr>
            <w:rFonts w:eastAsia="Times New Roman"/>
            <w:szCs w:val="24"/>
            <w:lang w:eastAsia="es-CO"/>
          </w:rPr>
          <w:t>329</w:t>
        </w:r>
      </w:hyperlink>
      <w:r w:rsidRPr="009C2A40">
        <w:rPr>
          <w:rFonts w:eastAsia="Times New Roman"/>
          <w:szCs w:val="24"/>
          <w:lang w:eastAsia="es-CO"/>
        </w:rPr>
        <w:t> y </w:t>
      </w:r>
      <w:hyperlink r:id="rId17" w:tooltip="Estatuto Tributario CETA" w:history="1">
        <w:r w:rsidRPr="009C2A40">
          <w:rPr>
            <w:rFonts w:eastAsia="Times New Roman"/>
            <w:szCs w:val="24"/>
            <w:lang w:eastAsia="es-CO"/>
          </w:rPr>
          <w:t>592</w:t>
        </w:r>
      </w:hyperlink>
      <w:r w:rsidRPr="009C2A40">
        <w:rPr>
          <w:rFonts w:eastAsia="Times New Roman"/>
          <w:szCs w:val="24"/>
          <w:lang w:eastAsia="es-CO"/>
        </w:rPr>
        <w:t> del Estatuto Tributario; 7º del Decreto 366 de 1992; 3° del Decreto 2271 de 2009; 27 y 28 del Código Civil; Sentencias C-238 de 1997 y C-895 de 2009; Conceptos No. 039972 del 14 de mayo de 1996, No. 025695 del 22 de marzo de 2000 y No. 043973 del 2 de mayo de 2008; Oficio No. 070386 del 5 de noviembre de 2013.</w:t>
      </w:r>
    </w:p>
    <w:p w:rsidR="00C84EF4" w:rsidRPr="009C2A40" w:rsidRDefault="00C84EF4" w:rsidP="00C84EF4">
      <w:pPr>
        <w:spacing w:line="240" w:lineRule="auto"/>
        <w:rPr>
          <w:rFonts w:eastAsia="Times New Roman"/>
          <w:szCs w:val="24"/>
          <w:lang w:eastAsia="es-CO"/>
        </w:rPr>
      </w:pPr>
      <w:r w:rsidRPr="009C2A40">
        <w:rPr>
          <w:rFonts w:eastAsia="Times New Roman"/>
          <w:szCs w:val="24"/>
          <w:lang w:eastAsia="es-CO"/>
        </w:rPr>
        <w:t> </w:t>
      </w:r>
    </w:p>
    <w:p w:rsidR="00C84EF4" w:rsidRPr="009C2A40" w:rsidRDefault="00C84EF4" w:rsidP="00C84EF4">
      <w:pPr>
        <w:spacing w:line="240" w:lineRule="auto"/>
        <w:rPr>
          <w:rFonts w:eastAsia="Times New Roman"/>
          <w:szCs w:val="24"/>
          <w:lang w:eastAsia="es-CO"/>
        </w:rPr>
      </w:pPr>
      <w:r w:rsidRPr="009C2A40">
        <w:rPr>
          <w:rFonts w:eastAsia="Times New Roman"/>
          <w:szCs w:val="24"/>
          <w:lang w:eastAsia="es-CO"/>
        </w:rPr>
        <w:t> </w:t>
      </w:r>
    </w:p>
    <w:p w:rsidR="00C84EF4" w:rsidRPr="009C2A40" w:rsidRDefault="00C84EF4" w:rsidP="00C84EF4">
      <w:pPr>
        <w:spacing w:line="240" w:lineRule="auto"/>
        <w:rPr>
          <w:rFonts w:eastAsia="Times New Roman"/>
          <w:szCs w:val="24"/>
          <w:lang w:eastAsia="es-CO"/>
        </w:rPr>
      </w:pPr>
      <w:r w:rsidRPr="009C2A40">
        <w:rPr>
          <w:rFonts w:eastAsia="Times New Roman"/>
          <w:szCs w:val="24"/>
          <w:lang w:eastAsia="es-CO"/>
        </w:rPr>
        <w:t xml:space="preserve">Atento saludo Sr. Pinzón </w:t>
      </w:r>
      <w:proofErr w:type="spellStart"/>
      <w:r w:rsidRPr="009C2A40">
        <w:rPr>
          <w:rFonts w:eastAsia="Times New Roman"/>
          <w:szCs w:val="24"/>
          <w:lang w:eastAsia="es-CO"/>
        </w:rPr>
        <w:t>Pinzón</w:t>
      </w:r>
      <w:proofErr w:type="spellEnd"/>
      <w:r w:rsidRPr="009C2A40">
        <w:rPr>
          <w:rFonts w:eastAsia="Times New Roman"/>
          <w:szCs w:val="24"/>
          <w:lang w:eastAsia="es-CO"/>
        </w:rPr>
        <w:t>.</w:t>
      </w:r>
    </w:p>
    <w:p w:rsidR="00C84EF4" w:rsidRPr="009C2A40" w:rsidRDefault="00C84EF4" w:rsidP="00C84EF4">
      <w:pPr>
        <w:spacing w:line="240" w:lineRule="auto"/>
        <w:rPr>
          <w:rFonts w:eastAsia="Times New Roman"/>
          <w:szCs w:val="24"/>
          <w:lang w:eastAsia="es-CO"/>
        </w:rPr>
      </w:pPr>
      <w:r w:rsidRPr="009C2A40">
        <w:rPr>
          <w:rFonts w:eastAsia="Times New Roman"/>
          <w:szCs w:val="24"/>
          <w:lang w:eastAsia="es-CO"/>
        </w:rPr>
        <w:t> </w:t>
      </w:r>
    </w:p>
    <w:p w:rsidR="00C84EF4" w:rsidRPr="009C2A40" w:rsidRDefault="00C84EF4" w:rsidP="00C84EF4">
      <w:pPr>
        <w:spacing w:line="240" w:lineRule="auto"/>
        <w:rPr>
          <w:rFonts w:eastAsia="Times New Roman"/>
          <w:szCs w:val="24"/>
          <w:lang w:eastAsia="es-CO"/>
        </w:rPr>
      </w:pPr>
      <w:r w:rsidRPr="009C2A40">
        <w:rPr>
          <w:rFonts w:eastAsia="Times New Roman"/>
          <w:szCs w:val="24"/>
          <w:lang w:eastAsia="es-CO"/>
        </w:rPr>
        <w:t>De conformidad con el artículo 20 del Decreto 4048 de 2008 y la Orden Administrativa No. 000006 de 2009, es función de esta Subdirección absolver las consultas escritas que se formulen sobre la interpretación y aplicación de las normas tributarias de carácter nacional, aduaneras y cambiarias en lo de competencia de la Entidad.</w:t>
      </w:r>
    </w:p>
    <w:p w:rsidR="00C84EF4" w:rsidRPr="009C2A40" w:rsidRDefault="00C84EF4" w:rsidP="00C84EF4">
      <w:pPr>
        <w:spacing w:line="240" w:lineRule="auto"/>
        <w:rPr>
          <w:rFonts w:eastAsia="Times New Roman"/>
          <w:szCs w:val="24"/>
          <w:lang w:eastAsia="es-CO"/>
        </w:rPr>
      </w:pPr>
      <w:r w:rsidRPr="009C2A40">
        <w:rPr>
          <w:rFonts w:eastAsia="Times New Roman"/>
          <w:szCs w:val="24"/>
          <w:lang w:eastAsia="es-CO"/>
        </w:rPr>
        <w:t> </w:t>
      </w:r>
    </w:p>
    <w:p w:rsidR="00C84EF4" w:rsidRPr="009C2A40" w:rsidRDefault="00C84EF4" w:rsidP="00C84EF4">
      <w:pPr>
        <w:spacing w:line="240" w:lineRule="auto"/>
        <w:rPr>
          <w:rFonts w:eastAsia="Times New Roman"/>
          <w:szCs w:val="24"/>
          <w:lang w:eastAsia="es-CO"/>
        </w:rPr>
      </w:pPr>
      <w:r w:rsidRPr="009C2A40">
        <w:rPr>
          <w:rFonts w:eastAsia="Times New Roman"/>
          <w:szCs w:val="24"/>
          <w:lang w:eastAsia="es-CO"/>
        </w:rPr>
        <w:t>Mediante el radicado de la referencia formula una serie de preguntas en torno al impuesto sobre la renta y complementarios las cuales se absolverán cada una a su turno, así:</w:t>
      </w:r>
    </w:p>
    <w:p w:rsidR="00C84EF4" w:rsidRPr="009C2A40" w:rsidRDefault="00C84EF4" w:rsidP="00C84EF4">
      <w:pPr>
        <w:spacing w:line="240" w:lineRule="auto"/>
        <w:rPr>
          <w:rFonts w:eastAsia="Times New Roman"/>
          <w:szCs w:val="24"/>
          <w:lang w:eastAsia="es-CO"/>
        </w:rPr>
      </w:pPr>
      <w:r w:rsidRPr="009C2A40">
        <w:rPr>
          <w:rFonts w:eastAsia="Times New Roman"/>
          <w:szCs w:val="24"/>
          <w:lang w:eastAsia="es-CO"/>
        </w:rPr>
        <w:t> </w:t>
      </w:r>
    </w:p>
    <w:p w:rsidR="00C84EF4" w:rsidRPr="009C2A40" w:rsidRDefault="00C84EF4" w:rsidP="00C84EF4">
      <w:pPr>
        <w:spacing w:line="240" w:lineRule="auto"/>
        <w:rPr>
          <w:rFonts w:eastAsia="Times New Roman"/>
          <w:b/>
          <w:szCs w:val="24"/>
          <w:lang w:eastAsia="es-CO"/>
        </w:rPr>
      </w:pPr>
      <w:r w:rsidRPr="009C2A40">
        <w:rPr>
          <w:rFonts w:eastAsia="Times New Roman"/>
          <w:b/>
          <w:szCs w:val="24"/>
          <w:lang w:eastAsia="es-CO"/>
        </w:rPr>
        <w:t>1. ¿Qué TRM se aplica para calcular el equivalente en pesos colombianos de divisas percibidas por un nacional residente en Colombia y que deben ser relacionadas en la declaración del impuesto sobre la renta y complementarios?</w:t>
      </w:r>
    </w:p>
    <w:p w:rsidR="00C84EF4" w:rsidRPr="009C2A40" w:rsidRDefault="00C84EF4" w:rsidP="00C84EF4">
      <w:pPr>
        <w:spacing w:line="240" w:lineRule="auto"/>
        <w:rPr>
          <w:rFonts w:eastAsia="Times New Roman"/>
          <w:szCs w:val="24"/>
          <w:lang w:eastAsia="es-CO"/>
        </w:rPr>
      </w:pPr>
      <w:r w:rsidRPr="009C2A40">
        <w:rPr>
          <w:rFonts w:eastAsia="Times New Roman"/>
          <w:szCs w:val="24"/>
          <w:lang w:eastAsia="es-CO"/>
        </w:rPr>
        <w:t> </w:t>
      </w:r>
    </w:p>
    <w:p w:rsidR="00C84EF4" w:rsidRPr="009C2A40" w:rsidRDefault="00C84EF4" w:rsidP="00C84EF4">
      <w:pPr>
        <w:spacing w:line="240" w:lineRule="auto"/>
        <w:rPr>
          <w:rFonts w:eastAsia="Times New Roman"/>
          <w:szCs w:val="24"/>
          <w:lang w:eastAsia="es-CO"/>
        </w:rPr>
      </w:pPr>
      <w:r w:rsidRPr="009C2A40">
        <w:rPr>
          <w:rFonts w:eastAsia="Times New Roman"/>
          <w:szCs w:val="24"/>
          <w:lang w:eastAsia="es-CO"/>
        </w:rPr>
        <w:t>El artículo 7º del Decreto 366 de 1992 señala:</w:t>
      </w:r>
    </w:p>
    <w:p w:rsidR="00C84EF4" w:rsidRPr="009C2A40" w:rsidRDefault="00C84EF4" w:rsidP="00C84EF4">
      <w:pPr>
        <w:spacing w:line="240" w:lineRule="auto"/>
        <w:ind w:left="284"/>
        <w:rPr>
          <w:rFonts w:eastAsia="Times New Roman"/>
          <w:szCs w:val="24"/>
          <w:lang w:eastAsia="es-CO"/>
        </w:rPr>
      </w:pPr>
      <w:r w:rsidRPr="009C2A40">
        <w:rPr>
          <w:rFonts w:eastAsia="Times New Roman"/>
          <w:szCs w:val="24"/>
          <w:lang w:eastAsia="es-CO"/>
        </w:rPr>
        <w:t> </w:t>
      </w:r>
    </w:p>
    <w:p w:rsidR="00C84EF4" w:rsidRPr="009C2A40" w:rsidRDefault="00C84EF4" w:rsidP="00C84EF4">
      <w:pPr>
        <w:spacing w:line="240" w:lineRule="auto"/>
        <w:ind w:left="284"/>
        <w:rPr>
          <w:rFonts w:eastAsia="Times New Roman"/>
          <w:szCs w:val="24"/>
          <w:lang w:eastAsia="es-CO"/>
        </w:rPr>
      </w:pPr>
      <w:r w:rsidRPr="009C2A40">
        <w:rPr>
          <w:rFonts w:eastAsia="Times New Roman"/>
          <w:i/>
          <w:iCs/>
          <w:szCs w:val="24"/>
          <w:lang w:eastAsia="es-CO"/>
        </w:rPr>
        <w:lastRenderedPageBreak/>
        <w:t>"ARTÍCULO 7o. TASA DE CAMBIO PARA EFECTOS TRIBUTARIOS. La tasa de cambio para efectos tributarios, </w:t>
      </w:r>
      <w:r w:rsidRPr="009C2A40">
        <w:rPr>
          <w:rFonts w:eastAsia="Times New Roman"/>
          <w:b/>
          <w:bCs/>
          <w:i/>
          <w:iCs/>
          <w:szCs w:val="24"/>
          <w:lang w:eastAsia="es-CO"/>
        </w:rPr>
        <w:t>será la tasa representativa del mercado vigente al momento de la operación, o a 31 de diciembre o al último día del período para los efectos del ajuste por diferencias en cambio de los activos y pasivos poseídos en moneda extranjera </w:t>
      </w:r>
      <w:proofErr w:type="spellStart"/>
      <w:r w:rsidRPr="009C2A40">
        <w:rPr>
          <w:rFonts w:eastAsia="Times New Roman"/>
          <w:b/>
          <w:bCs/>
          <w:i/>
          <w:iCs/>
          <w:szCs w:val="24"/>
          <w:lang w:eastAsia="es-CO"/>
        </w:rPr>
        <w:t>adicha</w:t>
      </w:r>
      <w:proofErr w:type="spellEnd"/>
      <w:r w:rsidRPr="009C2A40">
        <w:rPr>
          <w:rFonts w:eastAsia="Times New Roman"/>
          <w:b/>
          <w:bCs/>
          <w:i/>
          <w:iCs/>
          <w:szCs w:val="24"/>
          <w:lang w:eastAsia="es-CO"/>
        </w:rPr>
        <w:t xml:space="preserve"> fecha, </w:t>
      </w:r>
      <w:r w:rsidRPr="009C2A40">
        <w:rPr>
          <w:rFonts w:eastAsia="Times New Roman"/>
          <w:i/>
          <w:iCs/>
          <w:szCs w:val="24"/>
          <w:lang w:eastAsia="es-CO"/>
        </w:rPr>
        <w:t>certificada por la Superintendencia Bancaria, de acuerdo con lo dispuesto en el artículo 2.4.0.07 de la Resolución 57 de 1991 de la Junta Monetaria, adicionada por las Resoluciones externas número 15 de 1991 y número 6 de 1992, de la Junta Directiva del Banco de la República, o las normas que lo modifiquen.</w:t>
      </w:r>
    </w:p>
    <w:p w:rsidR="00C84EF4" w:rsidRPr="009C2A40" w:rsidRDefault="00C84EF4" w:rsidP="00C84EF4">
      <w:pPr>
        <w:spacing w:line="240" w:lineRule="auto"/>
        <w:ind w:left="284"/>
        <w:rPr>
          <w:rFonts w:eastAsia="Times New Roman"/>
          <w:szCs w:val="24"/>
          <w:lang w:eastAsia="es-CO"/>
        </w:rPr>
      </w:pPr>
      <w:r w:rsidRPr="009C2A40">
        <w:rPr>
          <w:rFonts w:eastAsia="Times New Roman"/>
          <w:i/>
          <w:iCs/>
          <w:szCs w:val="24"/>
          <w:lang w:eastAsia="es-CO"/>
        </w:rPr>
        <w:t>(...)</w:t>
      </w:r>
    </w:p>
    <w:p w:rsidR="00C84EF4" w:rsidRPr="009C2A40" w:rsidRDefault="00C84EF4" w:rsidP="00C84EF4">
      <w:pPr>
        <w:spacing w:line="240" w:lineRule="auto"/>
        <w:ind w:left="284"/>
        <w:rPr>
          <w:rFonts w:eastAsia="Times New Roman"/>
          <w:szCs w:val="24"/>
          <w:lang w:eastAsia="es-CO"/>
        </w:rPr>
      </w:pPr>
      <w:r w:rsidRPr="009C2A40">
        <w:rPr>
          <w:rFonts w:eastAsia="Times New Roman"/>
          <w:i/>
          <w:iCs/>
          <w:szCs w:val="24"/>
          <w:lang w:eastAsia="es-CO"/>
        </w:rPr>
        <w:t>PARÁGRAFO. La tasa de cambio aplicable a los días en que ésta no se certifique por la Superintendencia Bancaria, será la tasa representativa del mercado que corresponda a la ultime fecha inmediatamente anterior en la cual se haya certificado dicha tasa.”</w:t>
      </w:r>
      <w:r w:rsidRPr="009C2A40">
        <w:rPr>
          <w:rFonts w:eastAsia="Times New Roman"/>
          <w:szCs w:val="24"/>
          <w:lang w:eastAsia="es-CO"/>
        </w:rPr>
        <w:t> (</w:t>
      </w:r>
      <w:proofErr w:type="gramStart"/>
      <w:r w:rsidRPr="009C2A40">
        <w:rPr>
          <w:rFonts w:eastAsia="Times New Roman"/>
          <w:szCs w:val="24"/>
          <w:lang w:eastAsia="es-CO"/>
        </w:rPr>
        <w:t>negrilla</w:t>
      </w:r>
      <w:proofErr w:type="gramEnd"/>
      <w:r w:rsidRPr="009C2A40">
        <w:rPr>
          <w:rFonts w:eastAsia="Times New Roman"/>
          <w:szCs w:val="24"/>
          <w:lang w:eastAsia="es-CO"/>
        </w:rPr>
        <w:t xml:space="preserve"> fuera de texto).</w:t>
      </w:r>
    </w:p>
    <w:p w:rsidR="00C84EF4" w:rsidRPr="009C2A40" w:rsidRDefault="00C84EF4" w:rsidP="00C84EF4">
      <w:pPr>
        <w:spacing w:line="240" w:lineRule="auto"/>
        <w:rPr>
          <w:rFonts w:eastAsia="Times New Roman"/>
          <w:szCs w:val="24"/>
          <w:lang w:eastAsia="es-CO"/>
        </w:rPr>
      </w:pPr>
      <w:r w:rsidRPr="009C2A40">
        <w:rPr>
          <w:rFonts w:eastAsia="Times New Roman"/>
          <w:szCs w:val="24"/>
          <w:lang w:eastAsia="es-CO"/>
        </w:rPr>
        <w:t> </w:t>
      </w:r>
    </w:p>
    <w:p w:rsidR="00C84EF4" w:rsidRPr="009C2A40" w:rsidRDefault="00C84EF4" w:rsidP="00C84EF4">
      <w:pPr>
        <w:spacing w:line="240" w:lineRule="auto"/>
        <w:rPr>
          <w:rFonts w:eastAsia="Times New Roman"/>
          <w:szCs w:val="24"/>
          <w:lang w:eastAsia="es-CO"/>
        </w:rPr>
      </w:pPr>
      <w:r w:rsidRPr="009C2A40">
        <w:rPr>
          <w:rFonts w:eastAsia="Times New Roman"/>
          <w:szCs w:val="24"/>
          <w:lang w:eastAsia="es-CO"/>
        </w:rPr>
        <w:t>De manera que, de la lectura de la antepuesta norma, se desprende que el nacional residente en Colombia que deba declarar por concepto de impuesto sobre la renta y complementarios divisas extranjeras percibidas en el año gravable, puede utilizar la TRM, certificada por la Superintendencia Financiera de Colombia, vigente: 1) Al momento de la operación, 2) a 31 de diciembre o, 3) al último día del período para los efectos del ajuste por diferencias en cambio de los activos y pasivos poseídos en moneda extranjera a dicha fecha.</w:t>
      </w:r>
    </w:p>
    <w:p w:rsidR="00C84EF4" w:rsidRPr="009C2A40" w:rsidRDefault="00C84EF4" w:rsidP="00C84EF4">
      <w:pPr>
        <w:spacing w:line="240" w:lineRule="auto"/>
        <w:rPr>
          <w:rFonts w:eastAsia="Times New Roman"/>
          <w:szCs w:val="24"/>
          <w:lang w:eastAsia="es-CO"/>
        </w:rPr>
      </w:pPr>
      <w:r w:rsidRPr="009C2A40">
        <w:rPr>
          <w:rFonts w:eastAsia="Times New Roman"/>
          <w:szCs w:val="24"/>
          <w:lang w:eastAsia="es-CO"/>
        </w:rPr>
        <w:t> </w:t>
      </w:r>
    </w:p>
    <w:p w:rsidR="00C84EF4" w:rsidRPr="009C2A40" w:rsidRDefault="00C84EF4" w:rsidP="00C84EF4">
      <w:pPr>
        <w:spacing w:line="240" w:lineRule="auto"/>
        <w:rPr>
          <w:rFonts w:eastAsia="Times New Roman"/>
          <w:b/>
          <w:szCs w:val="24"/>
          <w:lang w:eastAsia="es-CO"/>
        </w:rPr>
      </w:pPr>
      <w:r w:rsidRPr="009C2A40">
        <w:rPr>
          <w:rFonts w:eastAsia="Times New Roman"/>
          <w:b/>
          <w:szCs w:val="24"/>
          <w:lang w:eastAsia="es-CO"/>
        </w:rPr>
        <w:t>2. Al establecer el </w:t>
      </w:r>
      <w:hyperlink r:id="rId18" w:tooltip="Estatuto Tributario CETA" w:history="1">
        <w:r w:rsidRPr="009C2A40">
          <w:rPr>
            <w:rFonts w:eastAsia="Times New Roman"/>
            <w:b/>
            <w:szCs w:val="24"/>
            <w:lang w:eastAsia="es-CO"/>
          </w:rPr>
          <w:t>artículo 9°</w:t>
        </w:r>
      </w:hyperlink>
      <w:r w:rsidRPr="009C2A40">
        <w:rPr>
          <w:rFonts w:eastAsia="Times New Roman"/>
          <w:b/>
          <w:szCs w:val="24"/>
          <w:lang w:eastAsia="es-CO"/>
        </w:rPr>
        <w:t> del Estatuto Tributario que las personas naturales residentes en el país </w:t>
      </w:r>
      <w:r w:rsidRPr="009C2A40">
        <w:rPr>
          <w:rFonts w:eastAsia="Times New Roman"/>
          <w:b/>
          <w:i/>
          <w:iCs/>
          <w:szCs w:val="24"/>
          <w:lang w:eastAsia="es-CO"/>
        </w:rPr>
        <w:t>"están sujetas al impuesto sobre la renta y complementarios en lo concerniente a sus rentas y ganancias ocasionales, tanto de fuente nacional como de fuente extranjera, y a su patrimonio poseído dentro y fuera del país"</w:t>
      </w:r>
      <w:r w:rsidRPr="009C2A40">
        <w:rPr>
          <w:rFonts w:eastAsia="Times New Roman"/>
          <w:b/>
          <w:szCs w:val="24"/>
          <w:lang w:eastAsia="es-CO"/>
        </w:rPr>
        <w:t> ¿Dicho patrimonio se refiere al patrimonio bruto o también cobija las deudas y obligaciones a cargo?</w:t>
      </w:r>
    </w:p>
    <w:p w:rsidR="00C84EF4" w:rsidRPr="009C2A40" w:rsidRDefault="00C84EF4" w:rsidP="00C84EF4">
      <w:pPr>
        <w:spacing w:line="240" w:lineRule="auto"/>
        <w:rPr>
          <w:rFonts w:eastAsia="Times New Roman"/>
          <w:szCs w:val="24"/>
          <w:lang w:eastAsia="es-CO"/>
        </w:rPr>
      </w:pPr>
      <w:r w:rsidRPr="009C2A40">
        <w:rPr>
          <w:rFonts w:eastAsia="Times New Roman"/>
          <w:szCs w:val="24"/>
          <w:lang w:eastAsia="es-CO"/>
        </w:rPr>
        <w:t> </w:t>
      </w:r>
    </w:p>
    <w:p w:rsidR="00C84EF4" w:rsidRPr="009C2A40" w:rsidRDefault="00C84EF4" w:rsidP="00C84EF4">
      <w:pPr>
        <w:spacing w:line="240" w:lineRule="auto"/>
        <w:rPr>
          <w:rFonts w:eastAsia="Times New Roman"/>
          <w:szCs w:val="24"/>
          <w:lang w:eastAsia="es-CO"/>
        </w:rPr>
      </w:pPr>
      <w:r w:rsidRPr="009C2A40">
        <w:rPr>
          <w:rFonts w:eastAsia="Times New Roman"/>
          <w:szCs w:val="24"/>
          <w:lang w:eastAsia="es-CO"/>
        </w:rPr>
        <w:t>La consultada expresión cobija tanto el patrimonio bruto como el patrimonio líquido de las personas naturales residentes en el país, poseído dentro y fuera de éste, así:</w:t>
      </w:r>
    </w:p>
    <w:p w:rsidR="00C84EF4" w:rsidRPr="009C2A40" w:rsidRDefault="00C84EF4" w:rsidP="00C84EF4">
      <w:pPr>
        <w:spacing w:line="240" w:lineRule="auto"/>
        <w:rPr>
          <w:rFonts w:eastAsia="Times New Roman"/>
          <w:szCs w:val="24"/>
          <w:lang w:eastAsia="es-CO"/>
        </w:rPr>
      </w:pPr>
      <w:r w:rsidRPr="009C2A40">
        <w:rPr>
          <w:rFonts w:eastAsia="Times New Roman"/>
          <w:szCs w:val="24"/>
          <w:lang w:eastAsia="es-CO"/>
        </w:rPr>
        <w:t> </w:t>
      </w:r>
    </w:p>
    <w:p w:rsidR="00C84EF4" w:rsidRPr="009C2A40" w:rsidRDefault="00C84EF4" w:rsidP="00C84EF4">
      <w:pPr>
        <w:spacing w:line="240" w:lineRule="auto"/>
        <w:rPr>
          <w:rFonts w:eastAsia="Times New Roman"/>
          <w:szCs w:val="24"/>
          <w:lang w:eastAsia="es-CO"/>
        </w:rPr>
      </w:pPr>
      <w:r w:rsidRPr="009C2A40">
        <w:rPr>
          <w:rFonts w:eastAsia="Times New Roman"/>
          <w:szCs w:val="24"/>
          <w:lang w:eastAsia="es-CO"/>
        </w:rPr>
        <w:t>En primer orden, tal y como se colige del </w:t>
      </w:r>
      <w:hyperlink r:id="rId19" w:tooltip="Estatuto Tributario CETA" w:history="1">
        <w:r w:rsidRPr="009C2A40">
          <w:rPr>
            <w:rFonts w:eastAsia="Times New Roman"/>
            <w:szCs w:val="24"/>
            <w:lang w:eastAsia="es-CO"/>
          </w:rPr>
          <w:t>artículo 592</w:t>
        </w:r>
      </w:hyperlink>
      <w:r w:rsidRPr="009C2A40">
        <w:rPr>
          <w:rFonts w:eastAsia="Times New Roman"/>
          <w:szCs w:val="24"/>
          <w:lang w:eastAsia="es-CO"/>
        </w:rPr>
        <w:t> del Estatuto Tributario, el patrimonio bruto - constituido por el total de los bienes y derechos apreciables en dinero poseídos en el último día del año o período gravable, en los términos del </w:t>
      </w:r>
      <w:hyperlink r:id="rId20" w:tooltip="Estatuto Tributario CETA" w:history="1">
        <w:r w:rsidRPr="009C2A40">
          <w:rPr>
            <w:rFonts w:eastAsia="Times New Roman"/>
            <w:szCs w:val="24"/>
            <w:lang w:eastAsia="es-CO"/>
          </w:rPr>
          <w:t>artículo 261</w:t>
        </w:r>
      </w:hyperlink>
      <w:r w:rsidRPr="009C2A40">
        <w:rPr>
          <w:rFonts w:eastAsia="Times New Roman"/>
          <w:szCs w:val="24"/>
          <w:lang w:eastAsia="es-CO"/>
        </w:rPr>
        <w:t> </w:t>
      </w:r>
      <w:r w:rsidRPr="009C2A40">
        <w:rPr>
          <w:rFonts w:eastAsia="Times New Roman"/>
          <w:i/>
          <w:iCs/>
          <w:szCs w:val="24"/>
          <w:lang w:eastAsia="es-CO"/>
        </w:rPr>
        <w:t>ibídem -</w:t>
      </w:r>
      <w:r w:rsidRPr="009C2A40">
        <w:rPr>
          <w:rFonts w:eastAsia="Times New Roman"/>
          <w:szCs w:val="24"/>
          <w:lang w:eastAsia="es-CO"/>
        </w:rPr>
        <w:t> es uno de los criterios que determina el surgimiento de la obligación de presentar la declaración de renta y complementarios.</w:t>
      </w:r>
    </w:p>
    <w:p w:rsidR="00C84EF4" w:rsidRPr="009C2A40" w:rsidRDefault="00C84EF4" w:rsidP="00C84EF4">
      <w:pPr>
        <w:spacing w:line="240" w:lineRule="auto"/>
        <w:rPr>
          <w:rFonts w:eastAsia="Times New Roman"/>
          <w:szCs w:val="24"/>
          <w:lang w:eastAsia="es-CO"/>
        </w:rPr>
      </w:pPr>
      <w:r w:rsidRPr="009C2A40">
        <w:rPr>
          <w:rFonts w:eastAsia="Times New Roman"/>
          <w:szCs w:val="24"/>
          <w:lang w:eastAsia="es-CO"/>
        </w:rPr>
        <w:t> </w:t>
      </w:r>
    </w:p>
    <w:p w:rsidR="00C84EF4" w:rsidRPr="009C2A40" w:rsidRDefault="00C84EF4" w:rsidP="00C84EF4">
      <w:pPr>
        <w:spacing w:line="240" w:lineRule="auto"/>
        <w:rPr>
          <w:rFonts w:eastAsia="Times New Roman"/>
          <w:szCs w:val="24"/>
          <w:lang w:eastAsia="es-CO"/>
        </w:rPr>
      </w:pPr>
      <w:r w:rsidRPr="009C2A40">
        <w:rPr>
          <w:rFonts w:eastAsia="Times New Roman"/>
          <w:szCs w:val="24"/>
          <w:lang w:eastAsia="es-CO"/>
        </w:rPr>
        <w:t>En segundo orden, en cuanto al patrimonio líquido, producto de restar al patrimonio bruto poseído por el contribuyente en el último día del año o período gravable el monto de las deudas a cargo del mismo vigentes en esa fecha, en los términos del </w:t>
      </w:r>
      <w:hyperlink r:id="rId21" w:tooltip="Estatuto Tributario CETA" w:history="1">
        <w:r w:rsidRPr="009C2A40">
          <w:rPr>
            <w:rFonts w:eastAsia="Times New Roman"/>
            <w:szCs w:val="24"/>
            <w:lang w:eastAsia="es-CO"/>
          </w:rPr>
          <w:t>artículo 282</w:t>
        </w:r>
      </w:hyperlink>
      <w:r w:rsidRPr="009C2A40">
        <w:rPr>
          <w:rFonts w:eastAsia="Times New Roman"/>
          <w:szCs w:val="24"/>
          <w:lang w:eastAsia="es-CO"/>
        </w:rPr>
        <w:t> </w:t>
      </w:r>
      <w:r w:rsidRPr="009C2A40">
        <w:rPr>
          <w:rFonts w:eastAsia="Times New Roman"/>
          <w:i/>
          <w:iCs/>
          <w:szCs w:val="24"/>
          <w:lang w:eastAsia="es-CO"/>
        </w:rPr>
        <w:t>ibídem,</w:t>
      </w:r>
      <w:r w:rsidRPr="009C2A40">
        <w:rPr>
          <w:rFonts w:eastAsia="Times New Roman"/>
          <w:szCs w:val="24"/>
          <w:lang w:eastAsia="es-CO"/>
        </w:rPr>
        <w:t> este sirve de base para efectuar el cálculo de la renta presuntiva (</w:t>
      </w:r>
      <w:hyperlink r:id="rId22" w:tooltip="Estatuto Tributario CETA" w:history="1">
        <w:r w:rsidRPr="009C2A40">
          <w:rPr>
            <w:rFonts w:eastAsia="Times New Roman"/>
            <w:szCs w:val="24"/>
            <w:lang w:eastAsia="es-CO"/>
          </w:rPr>
          <w:t>artículo 188</w:t>
        </w:r>
      </w:hyperlink>
      <w:r w:rsidRPr="009C2A40">
        <w:rPr>
          <w:rFonts w:eastAsia="Times New Roman"/>
          <w:szCs w:val="24"/>
          <w:lang w:eastAsia="es-CO"/>
        </w:rPr>
        <w:t> </w:t>
      </w:r>
      <w:r w:rsidRPr="009C2A40">
        <w:rPr>
          <w:rFonts w:eastAsia="Times New Roman"/>
          <w:i/>
          <w:iCs/>
          <w:szCs w:val="24"/>
          <w:lang w:eastAsia="es-CO"/>
        </w:rPr>
        <w:t>ibídem)</w:t>
      </w:r>
      <w:r w:rsidRPr="009C2A40">
        <w:rPr>
          <w:rFonts w:eastAsia="Times New Roman"/>
          <w:szCs w:val="24"/>
          <w:lang w:eastAsia="es-CO"/>
        </w:rPr>
        <w:t> que, como se sabe, es una presunción de derecho o </w:t>
      </w:r>
      <w:proofErr w:type="spellStart"/>
      <w:r w:rsidRPr="009C2A40">
        <w:rPr>
          <w:rFonts w:eastAsia="Times New Roman"/>
          <w:i/>
          <w:iCs/>
          <w:szCs w:val="24"/>
          <w:lang w:eastAsia="es-CO"/>
        </w:rPr>
        <w:t>juris</w:t>
      </w:r>
      <w:proofErr w:type="spellEnd"/>
      <w:r w:rsidRPr="009C2A40">
        <w:rPr>
          <w:rFonts w:eastAsia="Times New Roman"/>
          <w:i/>
          <w:iCs/>
          <w:szCs w:val="24"/>
          <w:lang w:eastAsia="es-CO"/>
        </w:rPr>
        <w:t xml:space="preserve"> et de jure,</w:t>
      </w:r>
      <w:r w:rsidRPr="009C2A40">
        <w:rPr>
          <w:rFonts w:eastAsia="Times New Roman"/>
          <w:szCs w:val="24"/>
          <w:lang w:eastAsia="es-CO"/>
        </w:rPr>
        <w:t> producto de la función social que el Estado Social de Derecho reconoce a la propiedad privada, como fuera analizado en la sentencia C-238 de 1997 por la Corte Constitucional, M.P. VLADIMIRO NARANJO MESA</w:t>
      </w:r>
    </w:p>
    <w:p w:rsidR="00C84EF4" w:rsidRPr="009C2A40" w:rsidRDefault="00C84EF4" w:rsidP="00C84EF4">
      <w:pPr>
        <w:spacing w:line="240" w:lineRule="auto"/>
        <w:rPr>
          <w:rFonts w:eastAsia="Times New Roman"/>
          <w:szCs w:val="24"/>
          <w:lang w:eastAsia="es-CO"/>
        </w:rPr>
      </w:pPr>
      <w:r w:rsidRPr="009C2A40">
        <w:rPr>
          <w:rFonts w:eastAsia="Times New Roman"/>
          <w:szCs w:val="24"/>
          <w:lang w:eastAsia="es-CO"/>
        </w:rPr>
        <w:t> </w:t>
      </w:r>
    </w:p>
    <w:p w:rsidR="00C84EF4" w:rsidRPr="009C2A40" w:rsidRDefault="00C84EF4" w:rsidP="00C84EF4">
      <w:pPr>
        <w:spacing w:line="240" w:lineRule="auto"/>
        <w:rPr>
          <w:rFonts w:eastAsia="Times New Roman"/>
          <w:b/>
          <w:szCs w:val="24"/>
          <w:lang w:eastAsia="es-CO"/>
        </w:rPr>
      </w:pPr>
      <w:r w:rsidRPr="009C2A40">
        <w:rPr>
          <w:rFonts w:eastAsia="Times New Roman"/>
          <w:b/>
          <w:szCs w:val="24"/>
          <w:lang w:eastAsia="es-CO"/>
        </w:rPr>
        <w:lastRenderedPageBreak/>
        <w:t>3. ¿Cómo se determina el valor patrimonial de bienes poseídos en el exterior por un nacional residente en Colombia?</w:t>
      </w:r>
    </w:p>
    <w:p w:rsidR="00C84EF4" w:rsidRPr="009C2A40" w:rsidRDefault="00C84EF4" w:rsidP="00C84EF4">
      <w:pPr>
        <w:spacing w:line="240" w:lineRule="auto"/>
        <w:rPr>
          <w:rFonts w:eastAsia="Times New Roman"/>
          <w:szCs w:val="24"/>
          <w:lang w:eastAsia="es-CO"/>
        </w:rPr>
      </w:pPr>
      <w:r w:rsidRPr="009C2A40">
        <w:rPr>
          <w:rFonts w:eastAsia="Times New Roman"/>
          <w:szCs w:val="24"/>
          <w:lang w:eastAsia="es-CO"/>
        </w:rPr>
        <w:t> </w:t>
      </w:r>
    </w:p>
    <w:p w:rsidR="00C84EF4" w:rsidRPr="009C2A40" w:rsidRDefault="00C84EF4" w:rsidP="00C84EF4">
      <w:pPr>
        <w:spacing w:line="240" w:lineRule="auto"/>
        <w:rPr>
          <w:rFonts w:eastAsia="Times New Roman"/>
          <w:szCs w:val="24"/>
          <w:lang w:eastAsia="es-CO"/>
        </w:rPr>
      </w:pPr>
      <w:r w:rsidRPr="009C2A40">
        <w:rPr>
          <w:rFonts w:eastAsia="Times New Roman"/>
          <w:szCs w:val="24"/>
          <w:lang w:eastAsia="es-CO"/>
        </w:rPr>
        <w:t>Al respecto, el </w:t>
      </w:r>
      <w:hyperlink r:id="rId23" w:tooltip="Estatuto Tributario CETA" w:history="1">
        <w:r w:rsidRPr="009C2A40">
          <w:rPr>
            <w:rFonts w:eastAsia="Times New Roman"/>
            <w:szCs w:val="24"/>
            <w:lang w:eastAsia="es-CO"/>
          </w:rPr>
          <w:t>artículo 269</w:t>
        </w:r>
      </w:hyperlink>
      <w:r w:rsidRPr="009C2A40">
        <w:rPr>
          <w:rFonts w:eastAsia="Times New Roman"/>
          <w:szCs w:val="24"/>
          <w:lang w:eastAsia="es-CO"/>
        </w:rPr>
        <w:t> del Estatuto Tributario apareja:</w:t>
      </w:r>
    </w:p>
    <w:p w:rsidR="00C84EF4" w:rsidRPr="009C2A40" w:rsidRDefault="00C84EF4" w:rsidP="00C84EF4">
      <w:pPr>
        <w:spacing w:line="240" w:lineRule="auto"/>
        <w:ind w:left="284"/>
        <w:rPr>
          <w:rFonts w:eastAsia="Times New Roman"/>
          <w:szCs w:val="24"/>
          <w:lang w:eastAsia="es-CO"/>
        </w:rPr>
      </w:pPr>
      <w:r w:rsidRPr="009C2A40">
        <w:rPr>
          <w:rFonts w:eastAsia="Times New Roman"/>
          <w:szCs w:val="24"/>
          <w:lang w:eastAsia="es-CO"/>
        </w:rPr>
        <w:t> </w:t>
      </w:r>
    </w:p>
    <w:p w:rsidR="00C84EF4" w:rsidRPr="009C2A40" w:rsidRDefault="00C84EF4" w:rsidP="00C84EF4">
      <w:pPr>
        <w:spacing w:line="240" w:lineRule="auto"/>
        <w:ind w:left="284"/>
        <w:rPr>
          <w:rFonts w:eastAsia="Times New Roman"/>
          <w:szCs w:val="24"/>
          <w:lang w:eastAsia="es-CO"/>
        </w:rPr>
      </w:pPr>
      <w:r w:rsidRPr="009C2A40">
        <w:rPr>
          <w:rFonts w:eastAsia="Times New Roman"/>
          <w:i/>
          <w:iCs/>
          <w:szCs w:val="24"/>
          <w:lang w:eastAsia="es-CO"/>
        </w:rPr>
        <w:t>"</w:t>
      </w:r>
      <w:hyperlink r:id="rId24" w:history="1">
        <w:r w:rsidRPr="009C2A40">
          <w:rPr>
            <w:rFonts w:eastAsia="Times New Roman"/>
            <w:i/>
            <w:iCs/>
            <w:szCs w:val="24"/>
            <w:lang w:eastAsia="es-CO"/>
          </w:rPr>
          <w:t>ARTÍCULO </w:t>
        </w:r>
      </w:hyperlink>
      <w:hyperlink r:id="rId25" w:history="1">
        <w:r w:rsidRPr="009C2A40">
          <w:rPr>
            <w:rFonts w:eastAsia="Times New Roman"/>
            <w:i/>
            <w:iCs/>
            <w:szCs w:val="24"/>
            <w:lang w:eastAsia="es-CO"/>
          </w:rPr>
          <w:t>269</w:t>
        </w:r>
      </w:hyperlink>
      <w:r w:rsidRPr="009C2A40">
        <w:rPr>
          <w:rFonts w:eastAsia="Times New Roman"/>
          <w:i/>
          <w:iCs/>
          <w:szCs w:val="24"/>
          <w:lang w:eastAsia="es-CO"/>
        </w:rPr>
        <w:t>. VALOR PATRIMONIAL DE LOS BIENES EN MONEDA EXTRANJERA. &lt;Fuente original compilada: D. 2053/74 Art. 114&gt; El valor de los bienes y créditos en monedas extranjeras, </w:t>
      </w:r>
      <w:r w:rsidRPr="009C2A40">
        <w:rPr>
          <w:rFonts w:eastAsia="Times New Roman"/>
          <w:b/>
          <w:bCs/>
          <w:i/>
          <w:iCs/>
          <w:szCs w:val="24"/>
          <w:lang w:eastAsia="es-CO"/>
        </w:rPr>
        <w:t>se estiman moneda nacional en el último día del año o período gravable, </w:t>
      </w:r>
      <w:r w:rsidRPr="009C2A40">
        <w:rPr>
          <w:rFonts w:eastAsia="Times New Roman"/>
          <w:i/>
          <w:iCs/>
          <w:szCs w:val="24"/>
          <w:lang w:eastAsia="es-CO"/>
        </w:rPr>
        <w:t>de acuerdo con la tasa oficial de cambio."</w:t>
      </w:r>
      <w:r w:rsidRPr="009C2A40">
        <w:rPr>
          <w:rFonts w:eastAsia="Times New Roman"/>
          <w:szCs w:val="24"/>
          <w:lang w:eastAsia="es-CO"/>
        </w:rPr>
        <w:t> (Negrilla fuera de texto).</w:t>
      </w:r>
    </w:p>
    <w:p w:rsidR="00C84EF4" w:rsidRPr="009C2A40" w:rsidRDefault="00C84EF4" w:rsidP="00C84EF4">
      <w:pPr>
        <w:spacing w:line="240" w:lineRule="auto"/>
        <w:rPr>
          <w:rFonts w:eastAsia="Times New Roman"/>
          <w:szCs w:val="24"/>
          <w:lang w:eastAsia="es-CO"/>
        </w:rPr>
      </w:pPr>
      <w:r w:rsidRPr="009C2A40">
        <w:rPr>
          <w:rFonts w:eastAsia="Times New Roman"/>
          <w:szCs w:val="24"/>
          <w:lang w:eastAsia="es-CO"/>
        </w:rPr>
        <w:t> </w:t>
      </w:r>
    </w:p>
    <w:p w:rsidR="00C84EF4" w:rsidRPr="009C2A40" w:rsidRDefault="00C84EF4" w:rsidP="00C84EF4">
      <w:pPr>
        <w:spacing w:line="240" w:lineRule="auto"/>
        <w:rPr>
          <w:rFonts w:eastAsia="Times New Roman"/>
          <w:szCs w:val="24"/>
          <w:lang w:eastAsia="es-CO"/>
        </w:rPr>
      </w:pPr>
      <w:r w:rsidRPr="009C2A40">
        <w:rPr>
          <w:rFonts w:eastAsia="Times New Roman"/>
          <w:szCs w:val="24"/>
          <w:lang w:eastAsia="es-CO"/>
        </w:rPr>
        <w:t>Adicionalmente, en el Concepto No. 039972 del 14 de mayo de 1996 la Administración Tributaria explicó:</w:t>
      </w:r>
    </w:p>
    <w:p w:rsidR="00C84EF4" w:rsidRPr="009C2A40" w:rsidRDefault="00C84EF4" w:rsidP="00C84EF4">
      <w:pPr>
        <w:spacing w:line="240" w:lineRule="auto"/>
        <w:ind w:left="284"/>
        <w:rPr>
          <w:rFonts w:eastAsia="Times New Roman"/>
          <w:szCs w:val="24"/>
          <w:lang w:eastAsia="es-CO"/>
        </w:rPr>
      </w:pPr>
      <w:r w:rsidRPr="009C2A40">
        <w:rPr>
          <w:rFonts w:eastAsia="Times New Roman"/>
          <w:szCs w:val="24"/>
          <w:lang w:eastAsia="es-CO"/>
        </w:rPr>
        <w:t> </w:t>
      </w:r>
    </w:p>
    <w:p w:rsidR="00C84EF4" w:rsidRPr="009C2A40" w:rsidRDefault="00C84EF4" w:rsidP="00C84EF4">
      <w:pPr>
        <w:spacing w:line="240" w:lineRule="auto"/>
        <w:ind w:left="284"/>
        <w:rPr>
          <w:rFonts w:eastAsia="Times New Roman"/>
          <w:szCs w:val="24"/>
          <w:lang w:eastAsia="es-CO"/>
        </w:rPr>
      </w:pPr>
      <w:r w:rsidRPr="009C2A40">
        <w:rPr>
          <w:rFonts w:eastAsia="Times New Roman"/>
          <w:i/>
          <w:iCs/>
          <w:szCs w:val="24"/>
          <w:lang w:eastAsia="es-CO"/>
        </w:rPr>
        <w:t>"En cuanto a los activos fijos se observa que en el </w:t>
      </w:r>
      <w:hyperlink r:id="rId26" w:history="1">
        <w:r w:rsidRPr="009C2A40">
          <w:rPr>
            <w:rFonts w:eastAsia="Times New Roman"/>
            <w:i/>
            <w:iCs/>
            <w:szCs w:val="24"/>
            <w:lang w:eastAsia="es-CO"/>
          </w:rPr>
          <w:t>artículo </w:t>
        </w:r>
      </w:hyperlink>
      <w:hyperlink r:id="rId27" w:history="1">
        <w:r w:rsidRPr="009C2A40">
          <w:rPr>
            <w:rFonts w:eastAsia="Times New Roman"/>
            <w:i/>
            <w:iCs/>
            <w:szCs w:val="24"/>
            <w:lang w:eastAsia="es-CO"/>
          </w:rPr>
          <w:t>267</w:t>
        </w:r>
      </w:hyperlink>
      <w:r w:rsidRPr="009C2A40">
        <w:rPr>
          <w:rFonts w:eastAsia="Times New Roman"/>
          <w:i/>
          <w:iCs/>
          <w:szCs w:val="24"/>
          <w:lang w:eastAsia="es-CO"/>
        </w:rPr>
        <w:t> del Estatuto Tributario se señala que el valor patrimonial de bienes o derechos apreciables en dinero, incluidos los semovientes y vehículos automotores de uso personal poseídos el último día del período gravable está constituido de conformidad con las normas del Título I del Libro I del E.T., salvo normas especiales consagradas en el título de 'Patrimonio'.</w:t>
      </w:r>
    </w:p>
    <w:p w:rsidR="00C84EF4" w:rsidRPr="009C2A40" w:rsidRDefault="00C84EF4" w:rsidP="00C84EF4">
      <w:pPr>
        <w:spacing w:line="240" w:lineRule="auto"/>
        <w:ind w:left="284"/>
        <w:rPr>
          <w:rFonts w:eastAsia="Times New Roman"/>
          <w:szCs w:val="24"/>
          <w:lang w:eastAsia="es-CO"/>
        </w:rPr>
      </w:pPr>
      <w:r w:rsidRPr="009C2A40">
        <w:rPr>
          <w:rFonts w:eastAsia="Times New Roman"/>
          <w:i/>
          <w:iCs/>
          <w:szCs w:val="24"/>
          <w:lang w:eastAsia="es-CO"/>
        </w:rPr>
        <w:t> </w:t>
      </w:r>
    </w:p>
    <w:p w:rsidR="00C84EF4" w:rsidRPr="009C2A40" w:rsidRDefault="00C84EF4" w:rsidP="00C84EF4">
      <w:pPr>
        <w:spacing w:line="240" w:lineRule="auto"/>
        <w:ind w:left="284"/>
        <w:rPr>
          <w:rFonts w:eastAsia="Times New Roman"/>
          <w:szCs w:val="24"/>
          <w:lang w:eastAsia="es-CO"/>
        </w:rPr>
      </w:pPr>
      <w:r w:rsidRPr="009C2A40">
        <w:rPr>
          <w:rFonts w:eastAsia="Times New Roman"/>
          <w:i/>
          <w:iCs/>
          <w:szCs w:val="24"/>
          <w:lang w:eastAsia="es-CO"/>
        </w:rPr>
        <w:t>Por su parte el </w:t>
      </w:r>
      <w:hyperlink r:id="rId28" w:history="1">
        <w:r w:rsidRPr="009C2A40">
          <w:rPr>
            <w:rFonts w:eastAsia="Times New Roman"/>
            <w:i/>
            <w:iCs/>
            <w:szCs w:val="24"/>
            <w:lang w:eastAsia="es-CO"/>
          </w:rPr>
          <w:t>artículo </w:t>
        </w:r>
      </w:hyperlink>
      <w:hyperlink r:id="rId29" w:history="1">
        <w:r w:rsidRPr="009C2A40">
          <w:rPr>
            <w:rFonts w:eastAsia="Times New Roman"/>
            <w:i/>
            <w:iCs/>
            <w:szCs w:val="24"/>
            <w:lang w:eastAsia="es-CO"/>
          </w:rPr>
          <w:t>69</w:t>
        </w:r>
      </w:hyperlink>
      <w:r w:rsidRPr="009C2A40">
        <w:rPr>
          <w:rFonts w:eastAsia="Times New Roman"/>
          <w:i/>
          <w:iCs/>
          <w:szCs w:val="24"/>
          <w:lang w:eastAsia="es-CO"/>
        </w:rPr>
        <w:t>, ibídem que forma parte título y libro a que se refiere la norma citada indica que </w:t>
      </w:r>
      <w:r w:rsidRPr="009C2A40">
        <w:rPr>
          <w:rFonts w:eastAsia="Times New Roman"/>
          <w:b/>
          <w:bCs/>
          <w:i/>
          <w:iCs/>
          <w:szCs w:val="24"/>
          <w:lang w:eastAsia="es-CO"/>
        </w:rPr>
        <w:t xml:space="preserve">el costo de los activos fijos, está constituido por el precio de </w:t>
      </w:r>
      <w:proofErr w:type="spellStart"/>
      <w:r w:rsidRPr="009C2A40">
        <w:rPr>
          <w:rFonts w:eastAsia="Times New Roman"/>
          <w:b/>
          <w:bCs/>
          <w:i/>
          <w:iCs/>
          <w:szCs w:val="24"/>
          <w:lang w:eastAsia="es-CO"/>
        </w:rPr>
        <w:t>adquisicióno</w:t>
      </w:r>
      <w:proofErr w:type="spellEnd"/>
      <w:r w:rsidRPr="009C2A40">
        <w:rPr>
          <w:rFonts w:eastAsia="Times New Roman"/>
          <w:b/>
          <w:bCs/>
          <w:i/>
          <w:iCs/>
          <w:szCs w:val="24"/>
          <w:lang w:eastAsia="es-CO"/>
        </w:rPr>
        <w:t> el costo declarado en el año inmediatamente anterior según el caso y los ajustes fiscales más los siguientes valores:</w:t>
      </w:r>
    </w:p>
    <w:p w:rsidR="00C84EF4" w:rsidRPr="009C2A40" w:rsidRDefault="00C84EF4" w:rsidP="00C84EF4">
      <w:pPr>
        <w:spacing w:line="240" w:lineRule="auto"/>
        <w:ind w:left="284"/>
        <w:rPr>
          <w:rFonts w:eastAsia="Times New Roman"/>
          <w:szCs w:val="24"/>
          <w:lang w:eastAsia="es-CO"/>
        </w:rPr>
      </w:pPr>
      <w:r w:rsidRPr="009C2A40">
        <w:rPr>
          <w:rFonts w:eastAsia="Times New Roman"/>
          <w:b/>
          <w:bCs/>
          <w:i/>
          <w:iCs/>
          <w:szCs w:val="24"/>
          <w:lang w:eastAsia="es-CO"/>
        </w:rPr>
        <w:t> </w:t>
      </w:r>
    </w:p>
    <w:p w:rsidR="00C84EF4" w:rsidRPr="009C2A40" w:rsidRDefault="00C84EF4" w:rsidP="00C84EF4">
      <w:pPr>
        <w:spacing w:line="240" w:lineRule="auto"/>
        <w:ind w:left="284"/>
        <w:rPr>
          <w:rFonts w:eastAsia="Times New Roman"/>
          <w:szCs w:val="24"/>
          <w:lang w:eastAsia="es-CO"/>
        </w:rPr>
      </w:pPr>
      <w:r w:rsidRPr="009C2A40">
        <w:rPr>
          <w:rFonts w:eastAsia="Times New Roman"/>
          <w:i/>
          <w:iCs/>
          <w:szCs w:val="24"/>
          <w:lang w:eastAsia="es-CO"/>
        </w:rPr>
        <w:t>- En el caso de muebles </w:t>
      </w:r>
      <w:r w:rsidRPr="009C2A40">
        <w:rPr>
          <w:rFonts w:eastAsia="Times New Roman"/>
          <w:b/>
          <w:bCs/>
          <w:i/>
          <w:iCs/>
          <w:szCs w:val="24"/>
          <w:lang w:eastAsia="es-CO"/>
        </w:rPr>
        <w:t>las adiciones y mejoras.</w:t>
      </w:r>
    </w:p>
    <w:p w:rsidR="00C84EF4" w:rsidRPr="009C2A40" w:rsidRDefault="00C84EF4" w:rsidP="00C84EF4">
      <w:pPr>
        <w:spacing w:line="240" w:lineRule="auto"/>
        <w:ind w:left="284"/>
        <w:rPr>
          <w:rFonts w:eastAsia="Times New Roman"/>
          <w:szCs w:val="24"/>
          <w:lang w:eastAsia="es-CO"/>
        </w:rPr>
      </w:pPr>
      <w:r w:rsidRPr="009C2A40">
        <w:rPr>
          <w:rFonts w:eastAsia="Times New Roman"/>
          <w:b/>
          <w:bCs/>
          <w:i/>
          <w:iCs/>
          <w:szCs w:val="24"/>
          <w:lang w:eastAsia="es-CO"/>
        </w:rPr>
        <w:t> </w:t>
      </w:r>
    </w:p>
    <w:p w:rsidR="00C84EF4" w:rsidRPr="009C2A40" w:rsidRDefault="00C84EF4" w:rsidP="00C84EF4">
      <w:pPr>
        <w:spacing w:line="240" w:lineRule="auto"/>
        <w:ind w:left="284"/>
        <w:rPr>
          <w:rFonts w:eastAsia="Times New Roman"/>
          <w:szCs w:val="24"/>
          <w:lang w:eastAsia="es-CO"/>
        </w:rPr>
      </w:pPr>
      <w:r w:rsidRPr="009C2A40">
        <w:rPr>
          <w:rFonts w:eastAsia="Times New Roman"/>
          <w:i/>
          <w:iCs/>
          <w:szCs w:val="24"/>
          <w:lang w:eastAsia="es-CO"/>
        </w:rPr>
        <w:t>- En el caso de inmuebles </w:t>
      </w:r>
      <w:r w:rsidRPr="009C2A40">
        <w:rPr>
          <w:rFonts w:eastAsia="Times New Roman"/>
          <w:b/>
          <w:bCs/>
          <w:i/>
          <w:iCs/>
          <w:szCs w:val="24"/>
          <w:lang w:eastAsia="es-CO"/>
        </w:rPr>
        <w:t>las construcciones, mejoras, reparaciones locativas no deducidas y de las contribuciones pagadas por valorización.</w:t>
      </w:r>
    </w:p>
    <w:p w:rsidR="00C84EF4" w:rsidRPr="009C2A40" w:rsidRDefault="00C84EF4" w:rsidP="00C84EF4">
      <w:pPr>
        <w:spacing w:line="240" w:lineRule="auto"/>
        <w:ind w:left="284"/>
        <w:rPr>
          <w:rFonts w:eastAsia="Times New Roman"/>
          <w:szCs w:val="24"/>
          <w:lang w:eastAsia="es-CO"/>
        </w:rPr>
      </w:pPr>
      <w:r w:rsidRPr="009C2A40">
        <w:rPr>
          <w:rFonts w:eastAsia="Times New Roman"/>
          <w:b/>
          <w:bCs/>
          <w:i/>
          <w:iCs/>
          <w:szCs w:val="24"/>
          <w:lang w:eastAsia="es-CO"/>
        </w:rPr>
        <w:t> </w:t>
      </w:r>
    </w:p>
    <w:p w:rsidR="00C84EF4" w:rsidRPr="009C2A40" w:rsidRDefault="00C84EF4" w:rsidP="00C84EF4">
      <w:pPr>
        <w:spacing w:line="240" w:lineRule="auto"/>
        <w:ind w:left="284"/>
        <w:rPr>
          <w:rFonts w:eastAsia="Times New Roman"/>
          <w:szCs w:val="24"/>
          <w:lang w:eastAsia="es-CO"/>
        </w:rPr>
      </w:pPr>
      <w:r w:rsidRPr="009C2A40">
        <w:rPr>
          <w:rFonts w:eastAsia="Times New Roman"/>
          <w:i/>
          <w:iCs/>
          <w:szCs w:val="24"/>
          <w:lang w:eastAsia="es-CO"/>
        </w:rPr>
        <w:t>Del resultado anterior </w:t>
      </w:r>
      <w:r w:rsidRPr="009C2A40">
        <w:rPr>
          <w:rFonts w:eastAsia="Times New Roman"/>
          <w:b/>
          <w:bCs/>
          <w:i/>
          <w:iCs/>
          <w:szCs w:val="24"/>
          <w:lang w:eastAsia="es-CO"/>
        </w:rPr>
        <w:t>se disminuyen las depreciaciones, </w:t>
      </w:r>
      <w:r w:rsidRPr="009C2A40">
        <w:rPr>
          <w:rFonts w:eastAsia="Times New Roman"/>
          <w:i/>
          <w:iCs/>
          <w:szCs w:val="24"/>
          <w:lang w:eastAsia="es-CO"/>
        </w:rPr>
        <w:t>en el evento en que haya lugar a ellas, correspondientes al respectivo año gravable. Cabe anotar que para las personas jurídicas y sus asimiladas el costo de un bien depreciable no involucrará el impuesto sobre las ventas cancelado en su adquisición o nacionalización cuando haya debido ser tratado como descuento en el impuesto sobre la renta, artículos </w:t>
      </w:r>
      <w:hyperlink r:id="rId30" w:tooltip="Estatuto Tributario CETA" w:history="1">
        <w:r w:rsidRPr="009C2A40">
          <w:rPr>
            <w:rFonts w:eastAsia="Times New Roman"/>
            <w:i/>
            <w:iCs/>
            <w:szCs w:val="24"/>
            <w:lang w:eastAsia="es-CO"/>
          </w:rPr>
          <w:t>69</w:t>
        </w:r>
      </w:hyperlink>
      <w:r w:rsidRPr="009C2A40">
        <w:rPr>
          <w:rFonts w:eastAsia="Times New Roman"/>
          <w:i/>
          <w:iCs/>
          <w:szCs w:val="24"/>
          <w:lang w:eastAsia="es-CO"/>
        </w:rPr>
        <w:t> y </w:t>
      </w:r>
      <w:hyperlink r:id="rId31" w:tooltip="Estatuto Tributario CETA" w:history="1">
        <w:r w:rsidRPr="009C2A40">
          <w:rPr>
            <w:rFonts w:eastAsia="Times New Roman"/>
            <w:i/>
            <w:iCs/>
            <w:szCs w:val="24"/>
            <w:lang w:eastAsia="es-CO"/>
          </w:rPr>
          <w:t>131-1</w:t>
        </w:r>
      </w:hyperlink>
      <w:r w:rsidRPr="009C2A40">
        <w:rPr>
          <w:rFonts w:eastAsia="Times New Roman"/>
          <w:i/>
          <w:iCs/>
          <w:szCs w:val="24"/>
          <w:lang w:eastAsia="es-CO"/>
        </w:rPr>
        <w:t> Estatuto Tributario." (</w:t>
      </w:r>
      <w:proofErr w:type="gramStart"/>
      <w:r w:rsidRPr="009C2A40">
        <w:rPr>
          <w:rFonts w:eastAsia="Times New Roman"/>
          <w:i/>
          <w:iCs/>
          <w:szCs w:val="24"/>
          <w:lang w:eastAsia="es-CO"/>
        </w:rPr>
        <w:t>sic</w:t>
      </w:r>
      <w:proofErr w:type="gramEnd"/>
      <w:r w:rsidRPr="009C2A40">
        <w:rPr>
          <w:rFonts w:eastAsia="Times New Roman"/>
          <w:i/>
          <w:iCs/>
          <w:szCs w:val="24"/>
          <w:lang w:eastAsia="es-CO"/>
        </w:rPr>
        <w:t>)</w:t>
      </w:r>
      <w:r w:rsidRPr="009C2A40">
        <w:rPr>
          <w:rFonts w:eastAsia="Times New Roman"/>
          <w:szCs w:val="24"/>
          <w:lang w:eastAsia="es-CO"/>
        </w:rPr>
        <w:t> (Negrilla fuera de texto).</w:t>
      </w:r>
    </w:p>
    <w:p w:rsidR="00C84EF4" w:rsidRPr="009C2A40" w:rsidRDefault="00C84EF4" w:rsidP="00C84EF4">
      <w:pPr>
        <w:spacing w:line="240" w:lineRule="auto"/>
        <w:rPr>
          <w:rFonts w:eastAsia="Times New Roman"/>
          <w:szCs w:val="24"/>
          <w:lang w:eastAsia="es-CO"/>
        </w:rPr>
      </w:pPr>
      <w:r w:rsidRPr="009C2A40">
        <w:rPr>
          <w:rFonts w:eastAsia="Times New Roman"/>
          <w:szCs w:val="24"/>
          <w:lang w:eastAsia="es-CO"/>
        </w:rPr>
        <w:t> </w:t>
      </w:r>
    </w:p>
    <w:p w:rsidR="00C84EF4" w:rsidRPr="009C2A40" w:rsidRDefault="00C84EF4" w:rsidP="00C84EF4">
      <w:pPr>
        <w:spacing w:line="240" w:lineRule="auto"/>
        <w:rPr>
          <w:rFonts w:eastAsia="Times New Roman"/>
          <w:b/>
          <w:szCs w:val="24"/>
          <w:lang w:eastAsia="es-CO"/>
        </w:rPr>
      </w:pPr>
      <w:r w:rsidRPr="009C2A40">
        <w:rPr>
          <w:rFonts w:eastAsia="Times New Roman"/>
          <w:b/>
          <w:szCs w:val="24"/>
          <w:lang w:eastAsia="es-CO"/>
        </w:rPr>
        <w:t>4. ¿Se deben incluir dentro del total de ingresos percibidos los de fuente extranjera para determinar si una persona natural, residente en Colombia, se clasifica como empleado o trabajador por cuenta propia para efectos del impuesto sobre la renta y complementarios?</w:t>
      </w:r>
    </w:p>
    <w:p w:rsidR="00C84EF4" w:rsidRPr="009C2A40" w:rsidRDefault="00C84EF4" w:rsidP="00C84EF4">
      <w:pPr>
        <w:spacing w:line="240" w:lineRule="auto"/>
        <w:rPr>
          <w:rFonts w:eastAsia="Times New Roman"/>
          <w:szCs w:val="24"/>
          <w:lang w:eastAsia="es-CO"/>
        </w:rPr>
      </w:pPr>
      <w:r w:rsidRPr="009C2A40">
        <w:rPr>
          <w:rFonts w:eastAsia="Times New Roman"/>
          <w:szCs w:val="24"/>
          <w:lang w:eastAsia="es-CO"/>
        </w:rPr>
        <w:t> </w:t>
      </w:r>
    </w:p>
    <w:p w:rsidR="00C84EF4" w:rsidRPr="009C2A40" w:rsidRDefault="00C84EF4" w:rsidP="00C84EF4">
      <w:pPr>
        <w:spacing w:line="240" w:lineRule="auto"/>
        <w:rPr>
          <w:rFonts w:eastAsia="Times New Roman"/>
          <w:szCs w:val="24"/>
          <w:lang w:eastAsia="es-CO"/>
        </w:rPr>
      </w:pPr>
      <w:r w:rsidRPr="009C2A40">
        <w:rPr>
          <w:rFonts w:eastAsia="Times New Roman"/>
          <w:szCs w:val="24"/>
          <w:lang w:eastAsia="es-CO"/>
        </w:rPr>
        <w:t>Advirtiendo que, al tenor del </w:t>
      </w:r>
      <w:hyperlink r:id="rId32" w:tooltip="Estatuto Tributario CETA" w:history="1">
        <w:r w:rsidRPr="009C2A40">
          <w:rPr>
            <w:rFonts w:eastAsia="Times New Roman"/>
            <w:szCs w:val="24"/>
            <w:lang w:eastAsia="es-CO"/>
          </w:rPr>
          <w:t>artículo 329</w:t>
        </w:r>
      </w:hyperlink>
      <w:r w:rsidRPr="009C2A40">
        <w:rPr>
          <w:rFonts w:eastAsia="Times New Roman"/>
          <w:szCs w:val="24"/>
          <w:lang w:eastAsia="es-CO"/>
        </w:rPr>
        <w:t> del Estatuto Tributario, únicamente se clasifican como empleados o trabajadores por cuenta propia las personas naturales residentes en el territorio nacional y, que a la luz del </w:t>
      </w:r>
      <w:hyperlink r:id="rId33" w:tooltip="Estatuto Tributario CETA" w:history="1">
        <w:r w:rsidRPr="009C2A40">
          <w:rPr>
            <w:rFonts w:eastAsia="Times New Roman"/>
            <w:szCs w:val="24"/>
            <w:lang w:eastAsia="es-CO"/>
          </w:rPr>
          <w:t>artículo 9°</w:t>
        </w:r>
      </w:hyperlink>
      <w:r w:rsidRPr="009C2A40">
        <w:rPr>
          <w:rFonts w:eastAsia="Times New Roman"/>
          <w:szCs w:val="24"/>
          <w:lang w:eastAsia="es-CO"/>
        </w:rPr>
        <w:t> </w:t>
      </w:r>
      <w:r w:rsidRPr="009C2A40">
        <w:rPr>
          <w:rFonts w:eastAsia="Times New Roman"/>
          <w:i/>
          <w:iCs/>
          <w:szCs w:val="24"/>
          <w:lang w:eastAsia="es-CO"/>
        </w:rPr>
        <w:t>ibídem, “[l]as personas naturales, nacionales o extranjeras, residentes en el país (...) están sujetas al impuesto sobre la renta y complementarios en lo concerniente a sus rentas y ganancias ocasionales, </w:t>
      </w:r>
      <w:r w:rsidRPr="009C2A40">
        <w:rPr>
          <w:rFonts w:eastAsia="Times New Roman"/>
          <w:b/>
          <w:bCs/>
          <w:i/>
          <w:iCs/>
          <w:szCs w:val="24"/>
          <w:lang w:eastAsia="es-CO"/>
        </w:rPr>
        <w:t xml:space="preserve">tanto de </w:t>
      </w:r>
      <w:r w:rsidRPr="009C2A40">
        <w:rPr>
          <w:rFonts w:eastAsia="Times New Roman"/>
          <w:b/>
          <w:bCs/>
          <w:i/>
          <w:iCs/>
          <w:szCs w:val="24"/>
          <w:lang w:eastAsia="es-CO"/>
        </w:rPr>
        <w:lastRenderedPageBreak/>
        <w:t>fuente nacional como de fuente extranjera" </w:t>
      </w:r>
      <w:r w:rsidRPr="009C2A40">
        <w:rPr>
          <w:rFonts w:eastAsia="Times New Roman"/>
          <w:szCs w:val="24"/>
          <w:lang w:eastAsia="es-CO"/>
        </w:rPr>
        <w:t>(negrilla fuera de texto), se concluye la exigencia de incluir dentro del total de ingresos percibidos, aquellos que sean de fuente extranjera, con miras a precisar la apropiada clasificación tributaria.</w:t>
      </w:r>
    </w:p>
    <w:p w:rsidR="00C84EF4" w:rsidRPr="009C2A40" w:rsidRDefault="00C84EF4" w:rsidP="00C84EF4">
      <w:pPr>
        <w:spacing w:line="240" w:lineRule="auto"/>
        <w:rPr>
          <w:rFonts w:eastAsia="Times New Roman"/>
          <w:szCs w:val="24"/>
          <w:lang w:eastAsia="es-CO"/>
        </w:rPr>
      </w:pPr>
      <w:r w:rsidRPr="009C2A40">
        <w:rPr>
          <w:rFonts w:eastAsia="Times New Roman"/>
          <w:szCs w:val="24"/>
          <w:lang w:eastAsia="es-CO"/>
        </w:rPr>
        <w:t> </w:t>
      </w:r>
    </w:p>
    <w:p w:rsidR="00C84EF4" w:rsidRPr="009C2A40" w:rsidRDefault="00C84EF4" w:rsidP="00C84EF4">
      <w:pPr>
        <w:spacing w:line="240" w:lineRule="auto"/>
        <w:rPr>
          <w:rFonts w:eastAsia="Times New Roman"/>
          <w:b/>
          <w:szCs w:val="24"/>
          <w:lang w:eastAsia="es-CO"/>
        </w:rPr>
      </w:pPr>
      <w:r w:rsidRPr="009C2A40">
        <w:rPr>
          <w:rFonts w:eastAsia="Times New Roman"/>
          <w:b/>
          <w:szCs w:val="24"/>
          <w:lang w:eastAsia="es-CO"/>
        </w:rPr>
        <w:t>5. Una persona natural, residente en Colombia, clasificada como empleado para efectos del impuesto sobre la renta y complementarios y que percibió en el año 2013 ingresos laborales de fuente extranjera ¿En el Formulario No. 210 - Declaración de renta y complementarios personas naturales y asimiladas no obligadas a llevar contabilidad - debe registrar lo devengado en la casilla No. 33 (ingresos recibidos como empleado) o en la No. 39 (ingresos obtenidos en el exterior)?</w:t>
      </w:r>
    </w:p>
    <w:p w:rsidR="00C84EF4" w:rsidRPr="009C2A40" w:rsidRDefault="00C84EF4" w:rsidP="00C84EF4">
      <w:pPr>
        <w:spacing w:line="240" w:lineRule="auto"/>
        <w:rPr>
          <w:rFonts w:eastAsia="Times New Roman"/>
          <w:szCs w:val="24"/>
          <w:lang w:eastAsia="es-CO"/>
        </w:rPr>
      </w:pPr>
      <w:r w:rsidRPr="009C2A40">
        <w:rPr>
          <w:rFonts w:eastAsia="Times New Roman"/>
          <w:szCs w:val="24"/>
          <w:lang w:eastAsia="es-CO"/>
        </w:rPr>
        <w:t> </w:t>
      </w:r>
    </w:p>
    <w:p w:rsidR="00C84EF4" w:rsidRPr="009C2A40" w:rsidRDefault="00C84EF4" w:rsidP="00C84EF4">
      <w:pPr>
        <w:spacing w:line="240" w:lineRule="auto"/>
        <w:rPr>
          <w:rFonts w:eastAsia="Times New Roman"/>
          <w:szCs w:val="24"/>
          <w:lang w:eastAsia="es-CO"/>
        </w:rPr>
      </w:pPr>
      <w:r w:rsidRPr="009C2A40">
        <w:rPr>
          <w:rFonts w:eastAsia="Times New Roman"/>
          <w:szCs w:val="24"/>
          <w:lang w:eastAsia="es-CO"/>
        </w:rPr>
        <w:t>En el instructivo para el diligenciamiento de la declaración de renta y complementarios del Formulario No. 210 se encuentra:</w:t>
      </w:r>
    </w:p>
    <w:p w:rsidR="00C84EF4" w:rsidRPr="009C2A40" w:rsidRDefault="00C84EF4" w:rsidP="00C84EF4">
      <w:pPr>
        <w:spacing w:line="240" w:lineRule="auto"/>
        <w:ind w:left="284"/>
        <w:rPr>
          <w:rFonts w:eastAsia="Times New Roman"/>
          <w:szCs w:val="24"/>
          <w:lang w:eastAsia="es-CO"/>
        </w:rPr>
      </w:pPr>
      <w:r w:rsidRPr="009C2A40">
        <w:rPr>
          <w:rFonts w:eastAsia="Times New Roman"/>
          <w:szCs w:val="24"/>
          <w:lang w:eastAsia="es-CO"/>
        </w:rPr>
        <w:t> </w:t>
      </w:r>
    </w:p>
    <w:p w:rsidR="00C84EF4" w:rsidRPr="009C2A40" w:rsidRDefault="00C84EF4" w:rsidP="00C84EF4">
      <w:pPr>
        <w:spacing w:line="240" w:lineRule="auto"/>
        <w:ind w:left="284"/>
        <w:rPr>
          <w:rFonts w:eastAsia="Times New Roman"/>
          <w:szCs w:val="24"/>
          <w:lang w:eastAsia="es-CO"/>
        </w:rPr>
      </w:pPr>
      <w:r w:rsidRPr="009C2A40">
        <w:rPr>
          <w:rFonts w:eastAsia="Times New Roman"/>
          <w:i/>
          <w:iCs/>
          <w:szCs w:val="24"/>
          <w:lang w:eastAsia="es-CO"/>
        </w:rPr>
        <w:t>"SECCIÓN INGRESOS</w:t>
      </w:r>
    </w:p>
    <w:p w:rsidR="00C84EF4" w:rsidRPr="009C2A40" w:rsidRDefault="00C84EF4" w:rsidP="00C84EF4">
      <w:pPr>
        <w:spacing w:line="240" w:lineRule="auto"/>
        <w:ind w:left="284"/>
        <w:rPr>
          <w:rFonts w:eastAsia="Times New Roman"/>
          <w:szCs w:val="24"/>
          <w:lang w:eastAsia="es-CO"/>
        </w:rPr>
      </w:pPr>
      <w:r w:rsidRPr="009C2A40">
        <w:rPr>
          <w:rFonts w:eastAsia="Times New Roman"/>
          <w:i/>
          <w:iCs/>
          <w:szCs w:val="24"/>
          <w:lang w:eastAsia="es-CO"/>
        </w:rPr>
        <w:t>33. Recibidos como empleado: Incluya en esta casilla el valor efectivamente recibido en dinero o en especie como empleado durante el año gravable 2013, en virtud de contratos de trabajo con el sector público o privado, sean gravados o no con el impuesto sobre la renta (...)</w:t>
      </w:r>
    </w:p>
    <w:p w:rsidR="00C84EF4" w:rsidRPr="009C2A40" w:rsidRDefault="00C84EF4" w:rsidP="00C84EF4">
      <w:pPr>
        <w:spacing w:line="240" w:lineRule="auto"/>
        <w:ind w:left="284"/>
        <w:rPr>
          <w:rFonts w:eastAsia="Times New Roman"/>
          <w:szCs w:val="24"/>
          <w:lang w:eastAsia="es-CO"/>
        </w:rPr>
      </w:pPr>
      <w:r w:rsidRPr="009C2A40">
        <w:rPr>
          <w:rFonts w:eastAsia="Times New Roman"/>
          <w:i/>
          <w:iCs/>
          <w:szCs w:val="24"/>
          <w:lang w:eastAsia="es-CO"/>
        </w:rPr>
        <w:t>(…)</w:t>
      </w:r>
    </w:p>
    <w:p w:rsidR="00C84EF4" w:rsidRPr="009C2A40" w:rsidRDefault="00C84EF4" w:rsidP="00C84EF4">
      <w:pPr>
        <w:spacing w:line="240" w:lineRule="auto"/>
        <w:ind w:left="284"/>
        <w:rPr>
          <w:rFonts w:eastAsia="Times New Roman"/>
          <w:szCs w:val="24"/>
          <w:lang w:eastAsia="es-CO"/>
        </w:rPr>
      </w:pPr>
      <w:r w:rsidRPr="009C2A40">
        <w:rPr>
          <w:rFonts w:eastAsia="Times New Roman"/>
          <w:i/>
          <w:iCs/>
          <w:szCs w:val="24"/>
          <w:lang w:eastAsia="es-CO"/>
        </w:rPr>
        <w:t>39. Obtenidos en el exterior: Escriba en esta casilla el valor de los ingresos obtenidos en el exterior u originados en el exterior: por la </w:t>
      </w:r>
      <w:r w:rsidRPr="009C2A40">
        <w:rPr>
          <w:rFonts w:eastAsia="Times New Roman"/>
          <w:b/>
          <w:bCs/>
          <w:i/>
          <w:iCs/>
          <w:szCs w:val="24"/>
          <w:lang w:eastAsia="es-CO"/>
        </w:rPr>
        <w:t>explotación de bienes</w:t>
      </w:r>
      <w:r w:rsidRPr="009C2A40">
        <w:rPr>
          <w:rFonts w:eastAsia="Times New Roman"/>
          <w:i/>
          <w:iCs/>
          <w:szCs w:val="24"/>
          <w:lang w:eastAsia="es-CO"/>
        </w:rPr>
        <w:t> ubicados en el exterior, sin perjuicio de lo previsto en el numeral 7 del </w:t>
      </w:r>
      <w:hyperlink r:id="rId34" w:history="1">
        <w:r w:rsidRPr="009C2A40">
          <w:rPr>
            <w:rFonts w:eastAsia="Times New Roman"/>
            <w:i/>
            <w:iCs/>
            <w:szCs w:val="24"/>
            <w:lang w:eastAsia="es-CO"/>
          </w:rPr>
          <w:t>artículo </w:t>
        </w:r>
      </w:hyperlink>
      <w:hyperlink r:id="rId35" w:history="1">
        <w:r w:rsidRPr="009C2A40">
          <w:rPr>
            <w:rFonts w:eastAsia="Times New Roman"/>
            <w:i/>
            <w:iCs/>
            <w:szCs w:val="24"/>
            <w:lang w:eastAsia="es-CO"/>
          </w:rPr>
          <w:t>24</w:t>
        </w:r>
      </w:hyperlink>
      <w:r w:rsidRPr="009C2A40">
        <w:rPr>
          <w:rFonts w:eastAsia="Times New Roman"/>
          <w:i/>
          <w:iCs/>
          <w:szCs w:val="24"/>
          <w:lang w:eastAsia="es-CO"/>
        </w:rPr>
        <w:t> de E.T., los provenientes de la </w:t>
      </w:r>
      <w:r w:rsidRPr="009C2A40">
        <w:rPr>
          <w:rFonts w:eastAsia="Times New Roman"/>
          <w:b/>
          <w:bCs/>
          <w:i/>
          <w:iCs/>
          <w:szCs w:val="24"/>
          <w:lang w:eastAsia="es-CO"/>
        </w:rPr>
        <w:t>prestación de servicios en el exterior;</w:t>
      </w:r>
      <w:r w:rsidRPr="009C2A40">
        <w:rPr>
          <w:rFonts w:eastAsia="Times New Roman"/>
          <w:i/>
          <w:iCs/>
          <w:szCs w:val="24"/>
          <w:lang w:eastAsia="es-CO"/>
        </w:rPr>
        <w:t> los provenientes de la </w:t>
      </w:r>
      <w:r w:rsidRPr="009C2A40">
        <w:rPr>
          <w:rFonts w:eastAsia="Times New Roman"/>
          <w:b/>
          <w:bCs/>
          <w:i/>
          <w:iCs/>
          <w:szCs w:val="24"/>
          <w:lang w:eastAsia="es-CO"/>
        </w:rPr>
        <w:t>enajenación de bienes,</w:t>
      </w:r>
      <w:r w:rsidRPr="009C2A40">
        <w:rPr>
          <w:rFonts w:eastAsia="Times New Roman"/>
          <w:i/>
          <w:iCs/>
          <w:szCs w:val="24"/>
          <w:lang w:eastAsia="es-CO"/>
        </w:rPr>
        <w:t> a cualquier título, que se encuentren en el exterior en el momento de su enajenación."</w:t>
      </w:r>
      <w:r w:rsidRPr="009C2A40">
        <w:rPr>
          <w:rFonts w:eastAsia="Times New Roman"/>
          <w:szCs w:val="24"/>
          <w:lang w:eastAsia="es-CO"/>
        </w:rPr>
        <w:t> (Negrilla fuera de texto).</w:t>
      </w:r>
    </w:p>
    <w:p w:rsidR="00C84EF4" w:rsidRPr="009C2A40" w:rsidRDefault="00C84EF4" w:rsidP="00C84EF4">
      <w:pPr>
        <w:spacing w:line="240" w:lineRule="auto"/>
        <w:rPr>
          <w:rFonts w:eastAsia="Times New Roman"/>
          <w:szCs w:val="24"/>
          <w:lang w:eastAsia="es-CO"/>
        </w:rPr>
      </w:pPr>
      <w:r w:rsidRPr="009C2A40">
        <w:rPr>
          <w:rFonts w:eastAsia="Times New Roman"/>
          <w:szCs w:val="24"/>
          <w:lang w:eastAsia="es-CO"/>
        </w:rPr>
        <w:t> </w:t>
      </w:r>
    </w:p>
    <w:p w:rsidR="00C84EF4" w:rsidRPr="009C2A40" w:rsidRDefault="00C84EF4" w:rsidP="00C84EF4">
      <w:pPr>
        <w:spacing w:line="240" w:lineRule="auto"/>
        <w:rPr>
          <w:rFonts w:eastAsia="Times New Roman"/>
          <w:szCs w:val="24"/>
          <w:lang w:eastAsia="es-CO"/>
        </w:rPr>
      </w:pPr>
      <w:r w:rsidRPr="009C2A40">
        <w:rPr>
          <w:rFonts w:eastAsia="Times New Roman"/>
          <w:szCs w:val="24"/>
          <w:lang w:eastAsia="es-CO"/>
        </w:rPr>
        <w:t>De modo que, en atención a lo previamente transcrito y si bien esta Subdirección no desconoce que los ingresos laborales consultados fueron obtenidos u originados en el exterior, lo que llevaría a pensar que deben incluirse en la casilla No. 39, lo cierto es que, acorde con el instructivo, no provienen de la explotación ni enajenación de bienes, como tampoco de la prestación de servicios; motivo por el cual, atendiendo un criterio residual, lo devengado debe ser anotado en la casilla No. 33.</w:t>
      </w:r>
    </w:p>
    <w:p w:rsidR="00C84EF4" w:rsidRPr="009C2A40" w:rsidRDefault="00C84EF4" w:rsidP="00C84EF4">
      <w:pPr>
        <w:spacing w:line="240" w:lineRule="auto"/>
        <w:rPr>
          <w:rFonts w:eastAsia="Times New Roman"/>
          <w:szCs w:val="24"/>
          <w:lang w:eastAsia="es-CO"/>
        </w:rPr>
      </w:pPr>
      <w:r w:rsidRPr="009C2A40">
        <w:rPr>
          <w:rFonts w:eastAsia="Times New Roman"/>
          <w:szCs w:val="24"/>
          <w:lang w:eastAsia="es-CO"/>
        </w:rPr>
        <w:t> </w:t>
      </w:r>
    </w:p>
    <w:p w:rsidR="00C84EF4" w:rsidRPr="009C2A40" w:rsidRDefault="00C84EF4" w:rsidP="00C84EF4">
      <w:pPr>
        <w:spacing w:line="240" w:lineRule="auto"/>
        <w:rPr>
          <w:rFonts w:eastAsia="Times New Roman"/>
          <w:b/>
          <w:szCs w:val="24"/>
          <w:lang w:eastAsia="es-CO"/>
        </w:rPr>
      </w:pPr>
      <w:r w:rsidRPr="009C2A40">
        <w:rPr>
          <w:rFonts w:eastAsia="Times New Roman"/>
          <w:b/>
          <w:szCs w:val="24"/>
          <w:lang w:eastAsia="es-CO"/>
        </w:rPr>
        <w:t>6. Una persona natural, residente en Colombia, clasificada como empleado para efectos del impuesto sobre la renta y complementarios y que percibió ingresos laborales de fuente extranjera ¿Puede descontar los aportes a seguridad social realizados en el exterior?</w:t>
      </w:r>
    </w:p>
    <w:p w:rsidR="00C84EF4" w:rsidRPr="009C2A40" w:rsidRDefault="00C84EF4" w:rsidP="00C84EF4">
      <w:pPr>
        <w:spacing w:line="240" w:lineRule="auto"/>
        <w:rPr>
          <w:rFonts w:eastAsia="Times New Roman"/>
          <w:szCs w:val="24"/>
          <w:lang w:eastAsia="es-CO"/>
        </w:rPr>
      </w:pPr>
      <w:r w:rsidRPr="009C2A40">
        <w:rPr>
          <w:rFonts w:eastAsia="Times New Roman"/>
          <w:szCs w:val="24"/>
          <w:lang w:eastAsia="es-CO"/>
        </w:rPr>
        <w:t> </w:t>
      </w:r>
    </w:p>
    <w:p w:rsidR="00C84EF4" w:rsidRPr="009C2A40" w:rsidRDefault="00C84EF4" w:rsidP="00C84EF4">
      <w:pPr>
        <w:spacing w:line="240" w:lineRule="auto"/>
        <w:rPr>
          <w:rFonts w:eastAsia="Times New Roman"/>
          <w:szCs w:val="24"/>
          <w:lang w:eastAsia="es-CO"/>
        </w:rPr>
      </w:pPr>
      <w:r w:rsidRPr="009C2A40">
        <w:rPr>
          <w:rFonts w:eastAsia="Times New Roman"/>
          <w:szCs w:val="24"/>
          <w:lang w:eastAsia="es-CO"/>
        </w:rPr>
        <w:t>El </w:t>
      </w:r>
      <w:hyperlink r:id="rId36" w:tooltip="Estatuto Tributario CETA" w:history="1">
        <w:r w:rsidRPr="009C2A40">
          <w:rPr>
            <w:rFonts w:eastAsia="Times New Roman"/>
            <w:szCs w:val="24"/>
            <w:lang w:eastAsia="es-CO"/>
          </w:rPr>
          <w:t>artículo 126-1</w:t>
        </w:r>
      </w:hyperlink>
      <w:r w:rsidRPr="009C2A40">
        <w:rPr>
          <w:rFonts w:eastAsia="Times New Roman"/>
          <w:szCs w:val="24"/>
          <w:lang w:eastAsia="es-CO"/>
        </w:rPr>
        <w:t> del Estatuto Tributario indica en su inciso 2° que </w:t>
      </w:r>
      <w:r w:rsidRPr="009C2A40">
        <w:rPr>
          <w:rFonts w:eastAsia="Times New Roman"/>
          <w:i/>
          <w:iCs/>
          <w:szCs w:val="24"/>
          <w:lang w:eastAsia="es-CO"/>
        </w:rPr>
        <w:t>"[e]l monto obligatorio de los aportes que haga el trabajador, el empleador o el partícipe independiente, al fondo de pensiones de jubilación o invalidez, no hará parte de la base para aplicar la retención en la fuente por salarios </w:t>
      </w:r>
      <w:r w:rsidRPr="009C2A40">
        <w:rPr>
          <w:rFonts w:eastAsia="Times New Roman"/>
          <w:b/>
          <w:bCs/>
          <w:i/>
          <w:iCs/>
          <w:szCs w:val="24"/>
          <w:lang w:eastAsia="es-CO"/>
        </w:rPr>
        <w:t>y será considerado como una renta exenta en el año de su percepción"</w:t>
      </w:r>
      <w:r w:rsidRPr="009C2A40">
        <w:rPr>
          <w:rFonts w:eastAsia="Times New Roman"/>
          <w:szCs w:val="24"/>
          <w:lang w:eastAsia="es-CO"/>
        </w:rPr>
        <w:t>(negrilla fuera de texto).</w:t>
      </w:r>
    </w:p>
    <w:p w:rsidR="00C84EF4" w:rsidRPr="009C2A40" w:rsidRDefault="00C84EF4" w:rsidP="00C84EF4">
      <w:pPr>
        <w:spacing w:line="240" w:lineRule="auto"/>
        <w:rPr>
          <w:rFonts w:eastAsia="Times New Roman"/>
          <w:szCs w:val="24"/>
          <w:lang w:eastAsia="es-CO"/>
        </w:rPr>
      </w:pPr>
      <w:r w:rsidRPr="009C2A40">
        <w:rPr>
          <w:rFonts w:eastAsia="Times New Roman"/>
          <w:szCs w:val="24"/>
          <w:lang w:eastAsia="es-CO"/>
        </w:rPr>
        <w:t> </w:t>
      </w:r>
    </w:p>
    <w:p w:rsidR="00C84EF4" w:rsidRPr="009C2A40" w:rsidRDefault="00C84EF4" w:rsidP="00C84EF4">
      <w:pPr>
        <w:spacing w:line="240" w:lineRule="auto"/>
        <w:rPr>
          <w:rFonts w:eastAsia="Times New Roman"/>
          <w:szCs w:val="24"/>
          <w:lang w:eastAsia="es-CO"/>
        </w:rPr>
      </w:pPr>
      <w:r w:rsidRPr="009C2A40">
        <w:rPr>
          <w:rFonts w:eastAsia="Times New Roman"/>
          <w:szCs w:val="24"/>
          <w:lang w:eastAsia="es-CO"/>
        </w:rPr>
        <w:t>Por su parte, el artículo 3° del Decreto 2271 de 2009 especifica que </w:t>
      </w:r>
      <w:r w:rsidRPr="009C2A40">
        <w:rPr>
          <w:rFonts w:eastAsia="Times New Roman"/>
          <w:i/>
          <w:iCs/>
          <w:szCs w:val="24"/>
          <w:lang w:eastAsia="es-CO"/>
        </w:rPr>
        <w:t xml:space="preserve">“[e]l porcentaje a cargo del trabajador en los aportes obligatorios al Sistema General de </w:t>
      </w:r>
      <w:r w:rsidRPr="009C2A40">
        <w:rPr>
          <w:rFonts w:eastAsia="Times New Roman"/>
          <w:i/>
          <w:iCs/>
          <w:szCs w:val="24"/>
          <w:lang w:eastAsia="es-CO"/>
        </w:rPr>
        <w:lastRenderedPageBreak/>
        <w:t>Seguridad Social en Salud es deducible"</w:t>
      </w:r>
      <w:r w:rsidRPr="009C2A40">
        <w:rPr>
          <w:rFonts w:eastAsia="Times New Roman"/>
          <w:szCs w:val="24"/>
          <w:lang w:eastAsia="es-CO"/>
        </w:rPr>
        <w:t> y en su parágrafo 1° precisa que </w:t>
      </w:r>
      <w:r w:rsidRPr="009C2A40">
        <w:rPr>
          <w:rFonts w:eastAsia="Times New Roman"/>
          <w:i/>
          <w:iCs/>
          <w:szCs w:val="24"/>
          <w:lang w:eastAsia="es-CO"/>
        </w:rPr>
        <w:t>"[e]n todo caso para la procedencia de la deducción, los aportes al Sistema General de Seguridad Social en Salud son los efectivamente descontados al trabajador por parte del empleador”.</w:t>
      </w:r>
    </w:p>
    <w:p w:rsidR="00C84EF4" w:rsidRPr="009C2A40" w:rsidRDefault="00C84EF4" w:rsidP="00C84EF4">
      <w:pPr>
        <w:spacing w:line="240" w:lineRule="auto"/>
        <w:rPr>
          <w:rFonts w:eastAsia="Times New Roman"/>
          <w:szCs w:val="24"/>
          <w:lang w:eastAsia="es-CO"/>
        </w:rPr>
      </w:pPr>
      <w:r w:rsidRPr="009C2A40">
        <w:rPr>
          <w:rFonts w:eastAsia="Times New Roman"/>
          <w:i/>
          <w:iCs/>
          <w:szCs w:val="24"/>
          <w:lang w:eastAsia="es-CO"/>
        </w:rPr>
        <w:t> </w:t>
      </w:r>
    </w:p>
    <w:p w:rsidR="00C84EF4" w:rsidRPr="009C2A40" w:rsidRDefault="00C84EF4" w:rsidP="00C84EF4">
      <w:pPr>
        <w:spacing w:line="240" w:lineRule="auto"/>
        <w:rPr>
          <w:rFonts w:eastAsia="Times New Roman"/>
          <w:b/>
          <w:szCs w:val="24"/>
          <w:u w:val="single"/>
          <w:lang w:eastAsia="es-CO"/>
        </w:rPr>
      </w:pPr>
      <w:r w:rsidRPr="009C2A40">
        <w:rPr>
          <w:rFonts w:eastAsia="Times New Roman"/>
          <w:szCs w:val="24"/>
          <w:lang w:eastAsia="es-CO"/>
        </w:rPr>
        <w:t xml:space="preserve">Bajo este entendido y siguiendo la línea del Concepto No. 025695 del 22 de marzo de 2000, es menester que los aportes consultados se realicen a entidades nacionales pertenecientes al Sistema General de Seguridad Social; </w:t>
      </w:r>
      <w:r w:rsidRPr="009C2A40">
        <w:rPr>
          <w:rFonts w:eastAsia="Times New Roman"/>
          <w:b/>
          <w:szCs w:val="24"/>
          <w:u w:val="single"/>
          <w:lang w:eastAsia="es-CO"/>
        </w:rPr>
        <w:t>por tanto, no es viable descontar los aportes de ésta naturaleza realizados en el exterior.</w:t>
      </w:r>
    </w:p>
    <w:p w:rsidR="00C84EF4" w:rsidRPr="009C2A40" w:rsidRDefault="00C84EF4" w:rsidP="00C84EF4">
      <w:pPr>
        <w:spacing w:line="240" w:lineRule="auto"/>
        <w:rPr>
          <w:rFonts w:eastAsia="Times New Roman"/>
          <w:szCs w:val="24"/>
          <w:lang w:eastAsia="es-CO"/>
        </w:rPr>
      </w:pPr>
      <w:r w:rsidRPr="009C2A40">
        <w:rPr>
          <w:rFonts w:eastAsia="Times New Roman"/>
          <w:szCs w:val="24"/>
          <w:lang w:eastAsia="es-CO"/>
        </w:rPr>
        <w:t> </w:t>
      </w:r>
    </w:p>
    <w:p w:rsidR="00C84EF4" w:rsidRPr="009C2A40" w:rsidRDefault="00C84EF4" w:rsidP="00C84EF4">
      <w:pPr>
        <w:spacing w:line="240" w:lineRule="auto"/>
        <w:rPr>
          <w:rFonts w:eastAsia="Times New Roman"/>
          <w:b/>
          <w:szCs w:val="24"/>
          <w:lang w:eastAsia="es-CO"/>
        </w:rPr>
      </w:pPr>
      <w:r w:rsidRPr="009C2A40">
        <w:rPr>
          <w:rFonts w:eastAsia="Times New Roman"/>
          <w:b/>
          <w:szCs w:val="24"/>
          <w:lang w:eastAsia="es-CO"/>
        </w:rPr>
        <w:t>7. ¿Cómo debe entenderse la expresión "costos o deducciones por expensas en el exterior para la obtención de rentas de fuente dentro del país" contenida en el inciso 1° del </w:t>
      </w:r>
      <w:hyperlink r:id="rId37" w:tooltip="Estatuto Tributario CETA" w:history="1">
        <w:r w:rsidRPr="009C2A40">
          <w:rPr>
            <w:rFonts w:eastAsia="Times New Roman"/>
            <w:b/>
            <w:szCs w:val="24"/>
            <w:lang w:eastAsia="es-CO"/>
          </w:rPr>
          <w:t>artículo 122</w:t>
        </w:r>
      </w:hyperlink>
      <w:r w:rsidRPr="009C2A40">
        <w:rPr>
          <w:rFonts w:eastAsia="Times New Roman"/>
          <w:b/>
          <w:szCs w:val="24"/>
          <w:lang w:eastAsia="es-CO"/>
        </w:rPr>
        <w:t> del Estatuto Tributario?</w:t>
      </w:r>
    </w:p>
    <w:p w:rsidR="00C84EF4" w:rsidRPr="009C2A40" w:rsidRDefault="00C84EF4" w:rsidP="00C84EF4">
      <w:pPr>
        <w:spacing w:line="240" w:lineRule="auto"/>
        <w:rPr>
          <w:rFonts w:eastAsia="Times New Roman"/>
          <w:b/>
          <w:szCs w:val="24"/>
          <w:lang w:eastAsia="es-CO"/>
        </w:rPr>
      </w:pPr>
      <w:r w:rsidRPr="009C2A40">
        <w:rPr>
          <w:rFonts w:eastAsia="Times New Roman"/>
          <w:b/>
          <w:szCs w:val="24"/>
          <w:lang w:eastAsia="es-CO"/>
        </w:rPr>
        <w:t> </w:t>
      </w:r>
    </w:p>
    <w:p w:rsidR="00C84EF4" w:rsidRPr="009C2A40" w:rsidRDefault="00C84EF4" w:rsidP="00C84EF4">
      <w:pPr>
        <w:spacing w:line="240" w:lineRule="auto"/>
        <w:rPr>
          <w:rFonts w:eastAsia="Times New Roman"/>
          <w:szCs w:val="24"/>
          <w:lang w:eastAsia="es-CO"/>
        </w:rPr>
      </w:pPr>
      <w:r w:rsidRPr="009C2A40">
        <w:rPr>
          <w:rFonts w:eastAsia="Times New Roman"/>
          <w:szCs w:val="24"/>
          <w:lang w:eastAsia="es-CO"/>
        </w:rPr>
        <w:t>La expresión consultada debe interpretarse en los términos señalados por los artículos 27 y 28 del Código Civil, esto es, </w:t>
      </w:r>
      <w:r w:rsidRPr="009C2A40">
        <w:rPr>
          <w:rFonts w:eastAsia="Times New Roman"/>
          <w:i/>
          <w:iCs/>
          <w:szCs w:val="24"/>
          <w:lang w:eastAsia="es-CO"/>
        </w:rPr>
        <w:t>"[c]</w:t>
      </w:r>
      <w:proofErr w:type="spellStart"/>
      <w:r w:rsidRPr="009C2A40">
        <w:rPr>
          <w:rFonts w:eastAsia="Times New Roman"/>
          <w:i/>
          <w:iCs/>
          <w:szCs w:val="24"/>
          <w:lang w:eastAsia="es-CO"/>
        </w:rPr>
        <w:t>uando</w:t>
      </w:r>
      <w:proofErr w:type="spellEnd"/>
      <w:r w:rsidRPr="009C2A40">
        <w:rPr>
          <w:rFonts w:eastAsia="Times New Roman"/>
          <w:i/>
          <w:iCs/>
          <w:szCs w:val="24"/>
          <w:lang w:eastAsia="es-CO"/>
        </w:rPr>
        <w:t xml:space="preserve"> el sentido de la ley sea claro, no se desatenderá su tenor literal a pretexto de consultar su espíritu"</w:t>
      </w:r>
      <w:r w:rsidRPr="009C2A40">
        <w:rPr>
          <w:rFonts w:eastAsia="Times New Roman"/>
          <w:szCs w:val="24"/>
          <w:lang w:eastAsia="es-CO"/>
        </w:rPr>
        <w:t> y </w:t>
      </w:r>
      <w:r w:rsidRPr="009C2A40">
        <w:rPr>
          <w:rFonts w:eastAsia="Times New Roman"/>
          <w:i/>
          <w:iCs/>
          <w:szCs w:val="24"/>
          <w:lang w:eastAsia="es-CO"/>
        </w:rPr>
        <w:t>"[l]as palabras de la ley se entenderán en su sentido natural y obvio, según el uso general de las mismas palabras".</w:t>
      </w:r>
    </w:p>
    <w:p w:rsidR="00C84EF4" w:rsidRPr="009C2A40" w:rsidRDefault="00C84EF4" w:rsidP="00C84EF4">
      <w:pPr>
        <w:spacing w:line="240" w:lineRule="auto"/>
        <w:rPr>
          <w:rFonts w:eastAsia="Times New Roman"/>
          <w:szCs w:val="24"/>
          <w:lang w:eastAsia="es-CO"/>
        </w:rPr>
      </w:pPr>
      <w:r w:rsidRPr="009C2A40">
        <w:rPr>
          <w:rFonts w:eastAsia="Times New Roman"/>
          <w:i/>
          <w:iCs/>
          <w:szCs w:val="24"/>
          <w:lang w:eastAsia="es-CO"/>
        </w:rPr>
        <w:t> </w:t>
      </w:r>
    </w:p>
    <w:p w:rsidR="00C84EF4" w:rsidRPr="009C2A40" w:rsidRDefault="00C84EF4" w:rsidP="00C84EF4">
      <w:pPr>
        <w:spacing w:line="240" w:lineRule="auto"/>
        <w:rPr>
          <w:rFonts w:eastAsia="Times New Roman"/>
          <w:szCs w:val="24"/>
          <w:lang w:eastAsia="es-CO"/>
        </w:rPr>
      </w:pPr>
      <w:r w:rsidRPr="009C2A40">
        <w:rPr>
          <w:rFonts w:eastAsia="Times New Roman"/>
          <w:szCs w:val="24"/>
          <w:lang w:eastAsia="es-CO"/>
        </w:rPr>
        <w:t>Así las cosas, es preciso entender que, conforme al </w:t>
      </w:r>
      <w:hyperlink r:id="rId38" w:tooltip="Estatuto Tributario CETA" w:history="1">
        <w:r w:rsidRPr="009C2A40">
          <w:rPr>
            <w:rFonts w:eastAsia="Times New Roman"/>
            <w:szCs w:val="24"/>
            <w:lang w:eastAsia="es-CO"/>
          </w:rPr>
          <w:t>artículo 107</w:t>
        </w:r>
      </w:hyperlink>
      <w:r w:rsidRPr="009C2A40">
        <w:rPr>
          <w:rFonts w:eastAsia="Times New Roman"/>
          <w:szCs w:val="24"/>
          <w:lang w:eastAsia="es-CO"/>
        </w:rPr>
        <w:t> del Estatuto Tributario, </w:t>
      </w:r>
      <w:r w:rsidR="000E34E6" w:rsidRPr="009C2A40">
        <w:rPr>
          <w:rFonts w:eastAsia="Times New Roman"/>
          <w:i/>
          <w:iCs/>
          <w:szCs w:val="24"/>
          <w:lang w:eastAsia="es-CO"/>
        </w:rPr>
        <w:t>"S</w:t>
      </w:r>
      <w:r w:rsidRPr="009C2A40">
        <w:rPr>
          <w:rFonts w:eastAsia="Times New Roman"/>
          <w:i/>
          <w:iCs/>
          <w:szCs w:val="24"/>
          <w:lang w:eastAsia="es-CO"/>
        </w:rPr>
        <w:t>on deducibles las expensas realizadas durante el año o período gravable en el desarrollo de cualquier actividad productora de renta, </w:t>
      </w:r>
      <w:r w:rsidRPr="009C2A40">
        <w:rPr>
          <w:rFonts w:eastAsia="Times New Roman"/>
          <w:b/>
          <w:bCs/>
          <w:i/>
          <w:iCs/>
          <w:szCs w:val="24"/>
          <w:lang w:eastAsia="es-CO"/>
        </w:rPr>
        <w:t>siempre que tengan relación de causalidad con las actividades productoras de renta y que sean necesarias y proporcionadas </w:t>
      </w:r>
      <w:r w:rsidRPr="009C2A40">
        <w:rPr>
          <w:rFonts w:eastAsia="Times New Roman"/>
          <w:i/>
          <w:iCs/>
          <w:szCs w:val="24"/>
          <w:lang w:eastAsia="es-CO"/>
        </w:rPr>
        <w:t>acuerdo con cada actividad"</w:t>
      </w:r>
      <w:r w:rsidRPr="009C2A40">
        <w:rPr>
          <w:rFonts w:eastAsia="Times New Roman"/>
          <w:szCs w:val="24"/>
          <w:lang w:eastAsia="es-CO"/>
        </w:rPr>
        <w:t> (negrilla fuera de texto) y que, en lo que atañe a los gastos en el exterior, son aplicables las reglas contempladas en los artículos 122 a 124-2 </w:t>
      </w:r>
      <w:r w:rsidRPr="009C2A40">
        <w:rPr>
          <w:rFonts w:eastAsia="Times New Roman"/>
          <w:i/>
          <w:iCs/>
          <w:szCs w:val="24"/>
          <w:lang w:eastAsia="es-CO"/>
        </w:rPr>
        <w:t>ibídem,</w:t>
      </w:r>
      <w:r w:rsidRPr="009C2A40">
        <w:rPr>
          <w:rFonts w:eastAsia="Times New Roman"/>
          <w:szCs w:val="24"/>
          <w:lang w:eastAsia="es-CO"/>
        </w:rPr>
        <w:t> siendo que por regla general se encuentran limitados al 15% de la renta líquida del contribuyente, computada antes de su descuento y siempre que se destinen al logro de renta de fuente nacional.</w:t>
      </w:r>
    </w:p>
    <w:p w:rsidR="00C84EF4" w:rsidRPr="009C2A40" w:rsidRDefault="00C84EF4" w:rsidP="00C84EF4">
      <w:pPr>
        <w:spacing w:line="240" w:lineRule="auto"/>
        <w:rPr>
          <w:rFonts w:eastAsia="Times New Roman"/>
          <w:szCs w:val="24"/>
          <w:lang w:eastAsia="es-CO"/>
        </w:rPr>
      </w:pPr>
      <w:r w:rsidRPr="009C2A40">
        <w:rPr>
          <w:rFonts w:eastAsia="Times New Roman"/>
          <w:szCs w:val="24"/>
          <w:lang w:eastAsia="es-CO"/>
        </w:rPr>
        <w:t> </w:t>
      </w:r>
    </w:p>
    <w:p w:rsidR="00C84EF4" w:rsidRPr="009C2A40" w:rsidRDefault="00C84EF4" w:rsidP="00C84EF4">
      <w:pPr>
        <w:spacing w:line="240" w:lineRule="auto"/>
        <w:rPr>
          <w:rFonts w:eastAsia="Times New Roman"/>
          <w:b/>
          <w:szCs w:val="24"/>
          <w:lang w:eastAsia="es-CO"/>
        </w:rPr>
      </w:pPr>
      <w:r w:rsidRPr="009C2A40">
        <w:rPr>
          <w:rFonts w:eastAsia="Times New Roman"/>
          <w:b/>
          <w:szCs w:val="24"/>
          <w:lang w:eastAsia="es-CO"/>
        </w:rPr>
        <w:t>8. De conformidad con el </w:t>
      </w:r>
      <w:hyperlink r:id="rId39" w:tooltip="Estatuto Tributario CETA" w:history="1">
        <w:r w:rsidRPr="009C2A40">
          <w:rPr>
            <w:rFonts w:eastAsia="Times New Roman"/>
            <w:b/>
            <w:szCs w:val="24"/>
            <w:lang w:eastAsia="es-CO"/>
          </w:rPr>
          <w:t>artículo 254</w:t>
        </w:r>
      </w:hyperlink>
      <w:r w:rsidRPr="009C2A40">
        <w:rPr>
          <w:rFonts w:eastAsia="Times New Roman"/>
          <w:b/>
          <w:szCs w:val="24"/>
          <w:lang w:eastAsia="es-CO"/>
        </w:rPr>
        <w:t> del Estatuto Tributario, es procedente descontar el impuesto pagado en el extranjero, liquidado sobre rentas de fuente extranjera sujetas al impuesto sobre la renta en el país de origen, </w:t>
      </w:r>
      <w:r w:rsidRPr="009C2A40">
        <w:rPr>
          <w:rFonts w:eastAsia="Times New Roman"/>
          <w:b/>
          <w:i/>
          <w:iCs/>
          <w:szCs w:val="24"/>
          <w:lang w:eastAsia="es-CO"/>
        </w:rPr>
        <w:t>"siempre que el descuento no exceda del monto del impuesto que deba pagar el contribuyente en Colombia por esas mismas rentas”.</w:t>
      </w:r>
    </w:p>
    <w:p w:rsidR="00C84EF4" w:rsidRPr="009C2A40" w:rsidRDefault="00C84EF4" w:rsidP="00C84EF4">
      <w:pPr>
        <w:spacing w:line="240" w:lineRule="auto"/>
        <w:rPr>
          <w:rFonts w:eastAsia="Times New Roman"/>
          <w:b/>
          <w:szCs w:val="24"/>
          <w:lang w:eastAsia="es-CO"/>
        </w:rPr>
      </w:pPr>
      <w:r w:rsidRPr="009C2A40">
        <w:rPr>
          <w:rFonts w:eastAsia="Times New Roman"/>
          <w:b/>
          <w:i/>
          <w:iCs/>
          <w:szCs w:val="24"/>
          <w:lang w:eastAsia="es-CO"/>
        </w:rPr>
        <w:t> </w:t>
      </w:r>
    </w:p>
    <w:p w:rsidR="00C84EF4" w:rsidRPr="009C2A40" w:rsidRDefault="00C84EF4" w:rsidP="00C84EF4">
      <w:pPr>
        <w:spacing w:line="240" w:lineRule="auto"/>
        <w:rPr>
          <w:rFonts w:eastAsia="Times New Roman"/>
          <w:szCs w:val="24"/>
          <w:lang w:eastAsia="es-CO"/>
        </w:rPr>
      </w:pPr>
      <w:r w:rsidRPr="009C2A40">
        <w:rPr>
          <w:rFonts w:eastAsia="Times New Roman"/>
          <w:szCs w:val="24"/>
          <w:lang w:eastAsia="es-CO"/>
        </w:rPr>
        <w:t>Bajo este entendido, se pregunta:</w:t>
      </w:r>
    </w:p>
    <w:p w:rsidR="00C84EF4" w:rsidRPr="009C2A40" w:rsidRDefault="00C84EF4" w:rsidP="00C84EF4">
      <w:pPr>
        <w:spacing w:line="240" w:lineRule="auto"/>
        <w:rPr>
          <w:rFonts w:eastAsia="Times New Roman"/>
          <w:szCs w:val="24"/>
          <w:lang w:eastAsia="es-CO"/>
        </w:rPr>
      </w:pPr>
      <w:r w:rsidRPr="009C2A40">
        <w:rPr>
          <w:rFonts w:eastAsia="Times New Roman"/>
          <w:szCs w:val="24"/>
          <w:lang w:eastAsia="es-CO"/>
        </w:rPr>
        <w:t> </w:t>
      </w:r>
    </w:p>
    <w:p w:rsidR="00C84EF4" w:rsidRPr="009C2A40" w:rsidRDefault="00C84EF4" w:rsidP="00C84EF4">
      <w:pPr>
        <w:spacing w:line="240" w:lineRule="auto"/>
        <w:rPr>
          <w:rFonts w:eastAsia="Times New Roman"/>
          <w:b/>
          <w:szCs w:val="24"/>
          <w:lang w:eastAsia="es-CO"/>
        </w:rPr>
      </w:pPr>
      <w:r w:rsidRPr="009C2A40">
        <w:rPr>
          <w:rFonts w:eastAsia="Times New Roman"/>
          <w:b/>
          <w:szCs w:val="24"/>
          <w:lang w:eastAsia="es-CO"/>
        </w:rPr>
        <w:t>8.1. ¿Es procedente descontar los aportes a seguridad social cancelados en el extranjero con ocasión de ingresos laborales percibidos, a título de impuestos pagados en el exterior?</w:t>
      </w:r>
    </w:p>
    <w:p w:rsidR="00C84EF4" w:rsidRPr="009C2A40" w:rsidRDefault="00C84EF4" w:rsidP="00C84EF4">
      <w:pPr>
        <w:spacing w:line="240" w:lineRule="auto"/>
        <w:rPr>
          <w:rFonts w:eastAsia="Times New Roman"/>
          <w:szCs w:val="24"/>
          <w:lang w:eastAsia="es-CO"/>
        </w:rPr>
      </w:pPr>
      <w:r w:rsidRPr="009C2A40">
        <w:rPr>
          <w:rFonts w:eastAsia="Times New Roman"/>
          <w:szCs w:val="24"/>
          <w:lang w:eastAsia="es-CO"/>
        </w:rPr>
        <w:t> </w:t>
      </w:r>
    </w:p>
    <w:p w:rsidR="00C84EF4" w:rsidRPr="009C2A40" w:rsidRDefault="00C84EF4" w:rsidP="00C84EF4">
      <w:pPr>
        <w:spacing w:line="240" w:lineRule="auto"/>
        <w:rPr>
          <w:rFonts w:eastAsia="Times New Roman"/>
          <w:szCs w:val="24"/>
          <w:lang w:eastAsia="es-CO"/>
        </w:rPr>
      </w:pPr>
      <w:r w:rsidRPr="009C2A40">
        <w:rPr>
          <w:rFonts w:eastAsia="Times New Roman"/>
          <w:szCs w:val="24"/>
          <w:lang w:eastAsia="es-CO"/>
        </w:rPr>
        <w:t>El inciso 1º del </w:t>
      </w:r>
      <w:hyperlink r:id="rId40" w:tooltip="Estatuto Tributario CETA" w:history="1">
        <w:r w:rsidRPr="009C2A40">
          <w:rPr>
            <w:rFonts w:eastAsia="Times New Roman"/>
            <w:szCs w:val="24"/>
            <w:lang w:eastAsia="es-CO"/>
          </w:rPr>
          <w:t>artículo 254</w:t>
        </w:r>
      </w:hyperlink>
      <w:r w:rsidRPr="009C2A40">
        <w:rPr>
          <w:rFonts w:eastAsia="Times New Roman"/>
          <w:szCs w:val="24"/>
          <w:lang w:eastAsia="es-CO"/>
        </w:rPr>
        <w:t> del Estatuto Tributario prevé:</w:t>
      </w:r>
    </w:p>
    <w:p w:rsidR="00C84EF4" w:rsidRPr="009C2A40" w:rsidRDefault="00C84EF4" w:rsidP="00C84EF4">
      <w:pPr>
        <w:spacing w:line="240" w:lineRule="auto"/>
        <w:ind w:left="284"/>
        <w:rPr>
          <w:rFonts w:eastAsia="Times New Roman"/>
          <w:szCs w:val="24"/>
          <w:lang w:eastAsia="es-CO"/>
        </w:rPr>
      </w:pPr>
      <w:r w:rsidRPr="009C2A40">
        <w:rPr>
          <w:rFonts w:eastAsia="Times New Roman"/>
          <w:szCs w:val="24"/>
          <w:lang w:eastAsia="es-CO"/>
        </w:rPr>
        <w:t> </w:t>
      </w:r>
    </w:p>
    <w:p w:rsidR="00C84EF4" w:rsidRPr="009C2A40" w:rsidRDefault="00C84EF4" w:rsidP="00C84EF4">
      <w:pPr>
        <w:spacing w:line="240" w:lineRule="auto"/>
        <w:ind w:left="284"/>
        <w:rPr>
          <w:rFonts w:eastAsia="Times New Roman"/>
          <w:szCs w:val="24"/>
          <w:lang w:eastAsia="es-CO"/>
        </w:rPr>
      </w:pPr>
      <w:r w:rsidRPr="009C2A40">
        <w:rPr>
          <w:rFonts w:eastAsia="Times New Roman"/>
          <w:i/>
          <w:iCs/>
          <w:szCs w:val="24"/>
          <w:lang w:eastAsia="es-CO"/>
        </w:rPr>
        <w:t>"</w:t>
      </w:r>
      <w:hyperlink r:id="rId41" w:history="1">
        <w:r w:rsidRPr="009C2A40">
          <w:rPr>
            <w:rFonts w:eastAsia="Times New Roman"/>
            <w:i/>
            <w:iCs/>
            <w:szCs w:val="24"/>
            <w:lang w:eastAsia="es-CO"/>
          </w:rPr>
          <w:t>ARTÍCULO </w:t>
        </w:r>
      </w:hyperlink>
      <w:hyperlink r:id="rId42" w:history="1">
        <w:r w:rsidRPr="009C2A40">
          <w:rPr>
            <w:rFonts w:eastAsia="Times New Roman"/>
            <w:i/>
            <w:iCs/>
            <w:szCs w:val="24"/>
            <w:lang w:eastAsia="es-CO"/>
          </w:rPr>
          <w:t>254</w:t>
        </w:r>
      </w:hyperlink>
      <w:r w:rsidRPr="009C2A40">
        <w:rPr>
          <w:rFonts w:eastAsia="Times New Roman"/>
          <w:i/>
          <w:iCs/>
          <w:szCs w:val="24"/>
          <w:lang w:eastAsia="es-CO"/>
        </w:rPr>
        <w:t xml:space="preserve">. DESCUENTO POR IMPUESTOS PAGADOS EN EL EXTERIOR. &lt;Artículo modificado por el artículo 96 de la Ley 1607 de 2012. El nuevo texto es el siguiente:&gt; Las personas naturales residentes en el país y las sociedades y entidades nacionales, que sean contribuyentes del impuesto sobre la renta y complementarios y que perciban rentas de fuente extranjera sujetas al impuesto sobre la renta en el país de </w:t>
      </w:r>
      <w:r w:rsidRPr="009C2A40">
        <w:rPr>
          <w:rFonts w:eastAsia="Times New Roman"/>
          <w:i/>
          <w:iCs/>
          <w:szCs w:val="24"/>
          <w:lang w:eastAsia="es-CO"/>
        </w:rPr>
        <w:lastRenderedPageBreak/>
        <w:t>origen, tienen derecho a descontar del monto del impuesto colombiano de renta y complementarios, sumado al Impuesto sobre la Renta para la Equidad (CREE) cuando el contribuyente sea sujeto pasivo del mismo, </w:t>
      </w:r>
      <w:r w:rsidRPr="009C2A40">
        <w:rPr>
          <w:rFonts w:eastAsia="Times New Roman"/>
          <w:b/>
          <w:bCs/>
          <w:i/>
          <w:iCs/>
          <w:szCs w:val="24"/>
          <w:lang w:eastAsia="es-CO"/>
        </w:rPr>
        <w:t>el impuesto pagado en el extranjero, cualquiera sea su denominación, liquidado sobre esas mismas rentas,</w:t>
      </w:r>
      <w:r w:rsidRPr="009C2A40">
        <w:rPr>
          <w:rFonts w:eastAsia="Times New Roman"/>
          <w:i/>
          <w:iCs/>
          <w:szCs w:val="24"/>
          <w:lang w:eastAsia="es-CO"/>
        </w:rPr>
        <w:t> siempre que el descuento no exceda del monto del impuesto que deba pagar el contribuyente en Colombia por esas mismas rentas” </w:t>
      </w:r>
      <w:r w:rsidRPr="009C2A40">
        <w:rPr>
          <w:rFonts w:eastAsia="Times New Roman"/>
          <w:szCs w:val="24"/>
          <w:lang w:eastAsia="es-CO"/>
        </w:rPr>
        <w:t>(negrilla fuera de texto).</w:t>
      </w:r>
    </w:p>
    <w:p w:rsidR="00C84EF4" w:rsidRPr="009C2A40" w:rsidRDefault="00C84EF4" w:rsidP="00C84EF4">
      <w:pPr>
        <w:spacing w:line="240" w:lineRule="auto"/>
        <w:rPr>
          <w:rFonts w:eastAsia="Times New Roman"/>
          <w:szCs w:val="24"/>
          <w:lang w:eastAsia="es-CO"/>
        </w:rPr>
      </w:pPr>
      <w:r w:rsidRPr="009C2A40">
        <w:rPr>
          <w:rFonts w:eastAsia="Times New Roman"/>
          <w:szCs w:val="24"/>
          <w:lang w:eastAsia="es-CO"/>
        </w:rPr>
        <w:t> </w:t>
      </w:r>
    </w:p>
    <w:p w:rsidR="00C84EF4" w:rsidRPr="009C2A40" w:rsidRDefault="00C84EF4" w:rsidP="00C84EF4">
      <w:pPr>
        <w:spacing w:line="240" w:lineRule="auto"/>
        <w:rPr>
          <w:rFonts w:eastAsia="Times New Roman"/>
          <w:szCs w:val="24"/>
          <w:lang w:eastAsia="es-CO"/>
        </w:rPr>
      </w:pPr>
      <w:r w:rsidRPr="009C2A40">
        <w:rPr>
          <w:rFonts w:eastAsia="Times New Roman"/>
          <w:szCs w:val="24"/>
          <w:lang w:eastAsia="es-CO"/>
        </w:rPr>
        <w:t>A su vez, mediante Oficio No. 070386 del 5 de noviembre de 2013, esta Subdirección reafirmó:</w:t>
      </w:r>
    </w:p>
    <w:p w:rsidR="00C84EF4" w:rsidRPr="009C2A40" w:rsidRDefault="00C84EF4" w:rsidP="00C84EF4">
      <w:pPr>
        <w:spacing w:line="240" w:lineRule="auto"/>
        <w:ind w:left="284"/>
        <w:rPr>
          <w:rFonts w:eastAsia="Times New Roman"/>
          <w:szCs w:val="24"/>
          <w:lang w:eastAsia="es-CO"/>
        </w:rPr>
      </w:pPr>
      <w:r w:rsidRPr="009C2A40">
        <w:rPr>
          <w:rFonts w:eastAsia="Times New Roman"/>
          <w:szCs w:val="24"/>
          <w:lang w:eastAsia="es-CO"/>
        </w:rPr>
        <w:t> </w:t>
      </w:r>
    </w:p>
    <w:p w:rsidR="00C84EF4" w:rsidRPr="009C2A40" w:rsidRDefault="00C84EF4" w:rsidP="00C84EF4">
      <w:pPr>
        <w:spacing w:line="240" w:lineRule="auto"/>
        <w:ind w:left="284"/>
        <w:rPr>
          <w:rFonts w:eastAsia="Times New Roman"/>
          <w:szCs w:val="24"/>
          <w:lang w:eastAsia="es-CO"/>
        </w:rPr>
      </w:pPr>
      <w:r w:rsidRPr="009C2A40">
        <w:rPr>
          <w:rFonts w:eastAsia="Times New Roman"/>
          <w:i/>
          <w:iCs/>
          <w:szCs w:val="24"/>
          <w:lang w:eastAsia="es-CO"/>
        </w:rPr>
        <w:t>"(...) el </w:t>
      </w:r>
      <w:hyperlink r:id="rId43" w:history="1">
        <w:r w:rsidRPr="009C2A40">
          <w:rPr>
            <w:rFonts w:eastAsia="Times New Roman"/>
            <w:i/>
            <w:iCs/>
            <w:szCs w:val="24"/>
            <w:lang w:eastAsia="es-CO"/>
          </w:rPr>
          <w:t>artículo </w:t>
        </w:r>
      </w:hyperlink>
      <w:hyperlink r:id="rId44" w:history="1">
        <w:r w:rsidRPr="009C2A40">
          <w:rPr>
            <w:rFonts w:eastAsia="Times New Roman"/>
            <w:i/>
            <w:iCs/>
            <w:szCs w:val="24"/>
            <w:lang w:eastAsia="es-CO"/>
          </w:rPr>
          <w:t>254</w:t>
        </w:r>
      </w:hyperlink>
      <w:r w:rsidRPr="009C2A40">
        <w:rPr>
          <w:rFonts w:eastAsia="Times New Roman"/>
          <w:i/>
          <w:iCs/>
          <w:szCs w:val="24"/>
          <w:lang w:eastAsia="es-CO"/>
        </w:rPr>
        <w:t> del Estatuto Tributario consagra la figura del descuento tributario por impuestos pagados en el exterior, tanto para personas naturales residentes en el país como para sociedades y entidades nacionales, que sean contribuyentes del impuesto sobre la renta y complementarios; </w:t>
      </w:r>
      <w:r w:rsidRPr="009C2A40">
        <w:rPr>
          <w:rFonts w:eastAsia="Times New Roman"/>
          <w:b/>
          <w:bCs/>
          <w:i/>
          <w:iCs/>
          <w:szCs w:val="24"/>
          <w:lang w:eastAsia="es-CO"/>
        </w:rPr>
        <w:t>mecanismo que tiene como finalidad la eliminación de la doble tributación internacional</w:t>
      </w:r>
      <w:r w:rsidRPr="009C2A40">
        <w:rPr>
          <w:rFonts w:eastAsia="Times New Roman"/>
          <w:i/>
          <w:iCs/>
          <w:szCs w:val="24"/>
          <w:lang w:eastAsia="es-CO"/>
        </w:rPr>
        <w:t> que puede configurarse en razón de la imposición en el exterior por parte del Estado de la fuente de ingresos, en relación con una misma renta.”</w:t>
      </w:r>
      <w:r w:rsidRPr="009C2A40">
        <w:rPr>
          <w:rFonts w:eastAsia="Times New Roman"/>
          <w:szCs w:val="24"/>
          <w:lang w:eastAsia="es-CO"/>
        </w:rPr>
        <w:t> (Negrilla fuera de texto).</w:t>
      </w:r>
    </w:p>
    <w:p w:rsidR="00C84EF4" w:rsidRPr="009C2A40" w:rsidRDefault="00C84EF4" w:rsidP="00C84EF4">
      <w:pPr>
        <w:spacing w:line="240" w:lineRule="auto"/>
        <w:rPr>
          <w:rFonts w:eastAsia="Times New Roman"/>
          <w:szCs w:val="24"/>
          <w:lang w:eastAsia="es-CO"/>
        </w:rPr>
      </w:pPr>
      <w:r w:rsidRPr="009C2A40">
        <w:rPr>
          <w:rFonts w:eastAsia="Times New Roman"/>
          <w:szCs w:val="24"/>
          <w:lang w:eastAsia="es-CO"/>
        </w:rPr>
        <w:t> </w:t>
      </w:r>
    </w:p>
    <w:p w:rsidR="00C84EF4" w:rsidRPr="009C2A40" w:rsidRDefault="00C84EF4" w:rsidP="00C84EF4">
      <w:pPr>
        <w:spacing w:line="240" w:lineRule="auto"/>
        <w:rPr>
          <w:rFonts w:eastAsia="Times New Roman"/>
          <w:b/>
          <w:szCs w:val="24"/>
          <w:lang w:eastAsia="es-CO"/>
        </w:rPr>
      </w:pPr>
      <w:r w:rsidRPr="009C2A40">
        <w:rPr>
          <w:rFonts w:eastAsia="Times New Roman"/>
          <w:szCs w:val="24"/>
          <w:lang w:eastAsia="es-CO"/>
        </w:rPr>
        <w:t xml:space="preserve">Luego, conociendo que los aportes al Sistema de Seguridad Social gozan de naturaleza parafiscal come fuera reconocido por la Corte Constitucional, M.P. JORGE IVÁN PALACIO </w:t>
      </w:r>
      <w:proofErr w:type="spellStart"/>
      <w:r w:rsidRPr="009C2A40">
        <w:rPr>
          <w:rFonts w:eastAsia="Times New Roman"/>
          <w:szCs w:val="24"/>
          <w:lang w:eastAsia="es-CO"/>
        </w:rPr>
        <w:t>PALACIO</w:t>
      </w:r>
      <w:proofErr w:type="spellEnd"/>
      <w:r w:rsidRPr="009C2A40">
        <w:rPr>
          <w:rFonts w:eastAsia="Times New Roman"/>
          <w:szCs w:val="24"/>
          <w:lang w:eastAsia="es-CO"/>
        </w:rPr>
        <w:t xml:space="preserve"> en sentencia C-895 de 2009, que </w:t>
      </w:r>
      <w:r w:rsidRPr="009C2A40">
        <w:rPr>
          <w:rFonts w:eastAsia="Times New Roman"/>
          <w:i/>
          <w:iCs/>
          <w:szCs w:val="24"/>
          <w:lang w:eastAsia="es-CO"/>
        </w:rPr>
        <w:t>"el ingreso que corresponde al aporte obligatorio de salud efectuado por el trabajador, en razón de su obligatoriedad, conlleva a una destinación específica como lo es obtener y lograr una mejor cobertura del bienestar en salud, no sólo para él, sino para un grupo mayor al que pertenece, </w:t>
      </w:r>
      <w:r w:rsidRPr="009C2A40">
        <w:rPr>
          <w:rFonts w:eastAsia="Times New Roman"/>
          <w:b/>
          <w:bCs/>
          <w:i/>
          <w:iCs/>
          <w:szCs w:val="24"/>
          <w:lang w:eastAsia="es-CO"/>
        </w:rPr>
        <w:t>no constituyendo un ingreso gravado</w:t>
      </w:r>
      <w:r w:rsidRPr="009C2A40">
        <w:rPr>
          <w:rFonts w:eastAsia="Times New Roman"/>
          <w:i/>
          <w:iCs/>
          <w:szCs w:val="24"/>
          <w:lang w:eastAsia="es-CO"/>
        </w:rPr>
        <w:t> al tenor de lo previsto en el </w:t>
      </w:r>
      <w:hyperlink r:id="rId45" w:history="1">
        <w:r w:rsidRPr="009C2A40">
          <w:rPr>
            <w:rFonts w:eastAsia="Times New Roman"/>
            <w:i/>
            <w:iCs/>
            <w:szCs w:val="24"/>
            <w:lang w:eastAsia="es-CO"/>
          </w:rPr>
          <w:t>artículo </w:t>
        </w:r>
      </w:hyperlink>
      <w:hyperlink r:id="rId46" w:history="1">
        <w:r w:rsidRPr="009C2A40">
          <w:rPr>
            <w:rFonts w:eastAsia="Times New Roman"/>
            <w:i/>
            <w:iCs/>
            <w:szCs w:val="24"/>
            <w:lang w:eastAsia="es-CO"/>
          </w:rPr>
          <w:t>26</w:t>
        </w:r>
      </w:hyperlink>
      <w:r w:rsidRPr="009C2A40">
        <w:rPr>
          <w:rFonts w:eastAsia="Times New Roman"/>
          <w:i/>
          <w:iCs/>
          <w:szCs w:val="24"/>
          <w:lang w:eastAsia="es-CO"/>
        </w:rPr>
        <w:t> del Estatuto Tributario"</w:t>
      </w:r>
      <w:r w:rsidRPr="009C2A40">
        <w:rPr>
          <w:rFonts w:eastAsia="Times New Roman"/>
          <w:szCs w:val="24"/>
          <w:lang w:eastAsia="es-CO"/>
        </w:rPr>
        <w:t> (negrilla fuera de texto) como se expresó en el Concepto No. 043973 del 2 de mayo de 2008 y atendiendo al propósito del</w:t>
      </w:r>
      <w:r w:rsidR="003145B2" w:rsidRPr="009C2A40">
        <w:rPr>
          <w:rFonts w:eastAsia="Times New Roman"/>
          <w:szCs w:val="24"/>
          <w:lang w:eastAsia="es-CO"/>
        </w:rPr>
        <w:t xml:space="preserve"> </w:t>
      </w:r>
      <w:hyperlink r:id="rId47" w:tooltip="Estatuto Tributario CETA" w:history="1">
        <w:r w:rsidRPr="009C2A40">
          <w:rPr>
            <w:rFonts w:eastAsia="Times New Roman"/>
            <w:szCs w:val="24"/>
            <w:lang w:eastAsia="es-CO"/>
          </w:rPr>
          <w:t>artículo 254</w:t>
        </w:r>
      </w:hyperlink>
      <w:r w:rsidRPr="009C2A40">
        <w:rPr>
          <w:rFonts w:eastAsia="Times New Roman"/>
          <w:szCs w:val="24"/>
          <w:lang w:eastAsia="es-CO"/>
        </w:rPr>
        <w:t xml:space="preserve"> del Estatuto Tributario; </w:t>
      </w:r>
      <w:r w:rsidRPr="009C2A40">
        <w:rPr>
          <w:rFonts w:eastAsia="Times New Roman"/>
          <w:b/>
          <w:szCs w:val="24"/>
          <w:lang w:eastAsia="es-CO"/>
        </w:rPr>
        <w:t>no es procedente descontar los mencionados aportes parafiscales bajo la figura del descuento por impuestos pagados en el exterior, en razón a que</w:t>
      </w:r>
      <w:r w:rsidRPr="009C2A40">
        <w:rPr>
          <w:rFonts w:eastAsia="Times New Roman"/>
          <w:szCs w:val="24"/>
          <w:lang w:eastAsia="es-CO"/>
        </w:rPr>
        <w:t xml:space="preserve">: i) </w:t>
      </w:r>
      <w:r w:rsidRPr="009C2A40">
        <w:rPr>
          <w:rFonts w:eastAsia="Times New Roman"/>
          <w:b/>
          <w:szCs w:val="24"/>
          <w:lang w:eastAsia="es-CO"/>
        </w:rPr>
        <w:t>No se encuentran gravados con el impuesto sobre la renta y complementarios en Colombia, ii) tampoco revisten la condición de un tributo, motivo por el cual, no existe doble tributación, y iii) los aportes a seguridad social cancelados en otro país únicamente se liquidan en el mismo, sin que se repita su pago en el territorio nacional.</w:t>
      </w:r>
    </w:p>
    <w:p w:rsidR="00C84EF4" w:rsidRPr="009C2A40" w:rsidRDefault="00C84EF4" w:rsidP="00C84EF4">
      <w:pPr>
        <w:spacing w:line="240" w:lineRule="auto"/>
        <w:rPr>
          <w:rFonts w:eastAsia="Times New Roman"/>
          <w:b/>
          <w:szCs w:val="24"/>
          <w:lang w:eastAsia="es-CO"/>
        </w:rPr>
      </w:pPr>
      <w:r w:rsidRPr="009C2A40">
        <w:rPr>
          <w:rFonts w:eastAsia="Times New Roman"/>
          <w:b/>
          <w:szCs w:val="24"/>
          <w:lang w:eastAsia="es-CO"/>
        </w:rPr>
        <w:t> </w:t>
      </w:r>
    </w:p>
    <w:p w:rsidR="00C84EF4" w:rsidRPr="009C2A40" w:rsidRDefault="00C84EF4" w:rsidP="00C84EF4">
      <w:pPr>
        <w:spacing w:line="240" w:lineRule="auto"/>
        <w:rPr>
          <w:rFonts w:eastAsia="Times New Roman"/>
          <w:b/>
          <w:szCs w:val="24"/>
          <w:lang w:eastAsia="es-CO"/>
        </w:rPr>
      </w:pPr>
      <w:r w:rsidRPr="009C2A40">
        <w:rPr>
          <w:rFonts w:eastAsia="Times New Roman"/>
          <w:b/>
          <w:szCs w:val="24"/>
          <w:lang w:eastAsia="es-CO"/>
        </w:rPr>
        <w:t>8 2. ¿El porcentaje de renta de trabajo exenta señalado en el numeral 10 del </w:t>
      </w:r>
      <w:hyperlink r:id="rId48" w:tooltip="Estatuto Tributario CETA" w:history="1">
        <w:r w:rsidRPr="009C2A40">
          <w:rPr>
            <w:rFonts w:eastAsia="Times New Roman"/>
            <w:b/>
            <w:szCs w:val="24"/>
            <w:lang w:eastAsia="es-CO"/>
          </w:rPr>
          <w:t>artículo 206</w:t>
        </w:r>
      </w:hyperlink>
      <w:r w:rsidRPr="009C2A40">
        <w:rPr>
          <w:rFonts w:eastAsia="Times New Roman"/>
          <w:b/>
          <w:szCs w:val="24"/>
          <w:lang w:eastAsia="es-CO"/>
        </w:rPr>
        <w:t> del Estatuto Tributario es concurrente con el descuento analizado?</w:t>
      </w:r>
    </w:p>
    <w:p w:rsidR="00C84EF4" w:rsidRPr="009C2A40" w:rsidRDefault="00C84EF4" w:rsidP="00C84EF4">
      <w:pPr>
        <w:spacing w:line="240" w:lineRule="auto"/>
        <w:rPr>
          <w:rFonts w:eastAsia="Times New Roman"/>
          <w:b/>
          <w:szCs w:val="24"/>
          <w:lang w:eastAsia="es-CO"/>
        </w:rPr>
      </w:pPr>
      <w:r w:rsidRPr="009C2A40">
        <w:rPr>
          <w:rFonts w:eastAsia="Times New Roman"/>
          <w:b/>
          <w:szCs w:val="24"/>
          <w:lang w:eastAsia="es-CO"/>
        </w:rPr>
        <w:t> </w:t>
      </w:r>
    </w:p>
    <w:p w:rsidR="00C84EF4" w:rsidRPr="009C2A40" w:rsidRDefault="00C84EF4" w:rsidP="00C84EF4">
      <w:pPr>
        <w:spacing w:line="240" w:lineRule="auto"/>
        <w:rPr>
          <w:rFonts w:eastAsia="Times New Roman"/>
          <w:szCs w:val="24"/>
          <w:lang w:eastAsia="es-CO"/>
        </w:rPr>
      </w:pPr>
      <w:r w:rsidRPr="009C2A40">
        <w:rPr>
          <w:rFonts w:eastAsia="Times New Roman"/>
          <w:szCs w:val="24"/>
          <w:lang w:eastAsia="es-CO"/>
        </w:rPr>
        <w:t>El numeral 10 del </w:t>
      </w:r>
      <w:hyperlink r:id="rId49" w:tooltip="Estatuto Tributario CETA" w:history="1">
        <w:r w:rsidRPr="009C2A40">
          <w:rPr>
            <w:rFonts w:eastAsia="Times New Roman"/>
            <w:szCs w:val="24"/>
            <w:lang w:eastAsia="es-CO"/>
          </w:rPr>
          <w:t>artículo 206</w:t>
        </w:r>
      </w:hyperlink>
      <w:r w:rsidRPr="009C2A40">
        <w:rPr>
          <w:rFonts w:eastAsia="Times New Roman"/>
          <w:szCs w:val="24"/>
          <w:lang w:eastAsia="es-CO"/>
        </w:rPr>
        <w:t> del Estatuto Tributario establece:</w:t>
      </w:r>
    </w:p>
    <w:p w:rsidR="00C84EF4" w:rsidRPr="009C2A40" w:rsidRDefault="00C84EF4" w:rsidP="00C84EF4">
      <w:pPr>
        <w:spacing w:line="240" w:lineRule="auto"/>
        <w:ind w:left="284"/>
        <w:rPr>
          <w:rFonts w:eastAsia="Times New Roman"/>
          <w:szCs w:val="24"/>
          <w:lang w:eastAsia="es-CO"/>
        </w:rPr>
      </w:pPr>
      <w:r w:rsidRPr="009C2A40">
        <w:rPr>
          <w:rFonts w:eastAsia="Times New Roman"/>
          <w:szCs w:val="24"/>
          <w:lang w:eastAsia="es-CO"/>
        </w:rPr>
        <w:t> </w:t>
      </w:r>
    </w:p>
    <w:p w:rsidR="00C84EF4" w:rsidRPr="009C2A40" w:rsidRDefault="00C84EF4" w:rsidP="00C84EF4">
      <w:pPr>
        <w:spacing w:line="240" w:lineRule="auto"/>
        <w:ind w:left="284"/>
        <w:rPr>
          <w:rFonts w:eastAsia="Times New Roman"/>
          <w:szCs w:val="24"/>
          <w:lang w:eastAsia="es-CO"/>
        </w:rPr>
      </w:pPr>
      <w:r w:rsidRPr="009C2A40">
        <w:rPr>
          <w:rFonts w:eastAsia="Times New Roman"/>
          <w:i/>
          <w:iCs/>
          <w:szCs w:val="24"/>
          <w:lang w:eastAsia="es-CO"/>
        </w:rPr>
        <w:t>"</w:t>
      </w:r>
      <w:hyperlink r:id="rId50" w:history="1">
        <w:r w:rsidRPr="009C2A40">
          <w:rPr>
            <w:rFonts w:eastAsia="Times New Roman"/>
            <w:i/>
            <w:iCs/>
            <w:szCs w:val="24"/>
            <w:lang w:eastAsia="es-CO"/>
          </w:rPr>
          <w:t>ARTÍCULO </w:t>
        </w:r>
      </w:hyperlink>
      <w:hyperlink r:id="rId51" w:history="1">
        <w:r w:rsidRPr="009C2A40">
          <w:rPr>
            <w:rFonts w:eastAsia="Times New Roman"/>
            <w:i/>
            <w:iCs/>
            <w:szCs w:val="24"/>
            <w:lang w:eastAsia="es-CO"/>
          </w:rPr>
          <w:t>206</w:t>
        </w:r>
      </w:hyperlink>
      <w:r w:rsidRPr="009C2A40">
        <w:rPr>
          <w:rFonts w:eastAsia="Times New Roman"/>
          <w:i/>
          <w:iCs/>
          <w:szCs w:val="24"/>
          <w:lang w:eastAsia="es-CO"/>
        </w:rPr>
        <w:t>. RENTAS DE TRABAJO EXENTAS. &lt;Fuente original compilada: L. 75/86 Art. 35 Inc. 1o.&gt; </w:t>
      </w:r>
      <w:r w:rsidRPr="009C2A40">
        <w:rPr>
          <w:rFonts w:eastAsia="Times New Roman"/>
          <w:b/>
          <w:bCs/>
          <w:i/>
          <w:iCs/>
          <w:szCs w:val="24"/>
          <w:lang w:eastAsia="es-CO"/>
        </w:rPr>
        <w:t>Están gravados con el impuesto sobre la renta y complementarios </w:t>
      </w:r>
      <w:r w:rsidRPr="009C2A40">
        <w:rPr>
          <w:rFonts w:eastAsia="Times New Roman"/>
          <w:i/>
          <w:iCs/>
          <w:szCs w:val="24"/>
          <w:lang w:eastAsia="es-CO"/>
        </w:rPr>
        <w:t>la totalidad de los pagos o abonos en cuenta provenientes de la relación laboral o legal y reglamentaria,</w:t>
      </w:r>
      <w:r w:rsidRPr="009C2A40">
        <w:rPr>
          <w:rFonts w:eastAsia="Times New Roman"/>
          <w:b/>
          <w:bCs/>
          <w:i/>
          <w:iCs/>
          <w:szCs w:val="24"/>
          <w:lang w:eastAsia="es-CO"/>
        </w:rPr>
        <w:t> </w:t>
      </w:r>
      <w:r w:rsidRPr="009C2A40">
        <w:rPr>
          <w:rFonts w:eastAsia="Times New Roman"/>
          <w:i/>
          <w:iCs/>
          <w:szCs w:val="24"/>
          <w:lang w:eastAsia="es-CO"/>
        </w:rPr>
        <w:t>con excepción de los siguientes:</w:t>
      </w:r>
    </w:p>
    <w:p w:rsidR="00C84EF4" w:rsidRPr="009C2A40" w:rsidRDefault="00C84EF4" w:rsidP="00C84EF4">
      <w:pPr>
        <w:spacing w:line="240" w:lineRule="auto"/>
        <w:ind w:left="284"/>
        <w:rPr>
          <w:rFonts w:eastAsia="Times New Roman"/>
          <w:szCs w:val="24"/>
          <w:lang w:eastAsia="es-CO"/>
        </w:rPr>
      </w:pPr>
      <w:r w:rsidRPr="009C2A40">
        <w:rPr>
          <w:rFonts w:eastAsia="Times New Roman"/>
          <w:i/>
          <w:iCs/>
          <w:szCs w:val="24"/>
          <w:lang w:eastAsia="es-CO"/>
        </w:rPr>
        <w:t> </w:t>
      </w:r>
    </w:p>
    <w:p w:rsidR="00C84EF4" w:rsidRPr="009C2A40" w:rsidRDefault="00C84EF4" w:rsidP="00C84EF4">
      <w:pPr>
        <w:spacing w:line="240" w:lineRule="auto"/>
        <w:ind w:left="284"/>
        <w:rPr>
          <w:rFonts w:eastAsia="Times New Roman"/>
          <w:szCs w:val="24"/>
          <w:lang w:eastAsia="es-CO"/>
        </w:rPr>
      </w:pPr>
      <w:r w:rsidRPr="009C2A40">
        <w:rPr>
          <w:rFonts w:eastAsia="Times New Roman"/>
          <w:i/>
          <w:iCs/>
          <w:szCs w:val="24"/>
          <w:lang w:eastAsia="es-CO"/>
        </w:rPr>
        <w:t>(...)</w:t>
      </w:r>
    </w:p>
    <w:p w:rsidR="00C84EF4" w:rsidRPr="009C2A40" w:rsidRDefault="00C84EF4" w:rsidP="00C84EF4">
      <w:pPr>
        <w:spacing w:line="240" w:lineRule="auto"/>
        <w:ind w:left="284"/>
        <w:rPr>
          <w:rFonts w:eastAsia="Times New Roman"/>
          <w:szCs w:val="24"/>
          <w:lang w:eastAsia="es-CO"/>
        </w:rPr>
      </w:pPr>
      <w:r w:rsidRPr="009C2A40">
        <w:rPr>
          <w:rFonts w:eastAsia="Times New Roman"/>
          <w:i/>
          <w:iCs/>
          <w:szCs w:val="24"/>
          <w:lang w:eastAsia="es-CO"/>
        </w:rPr>
        <w:t xml:space="preserve">10. &lt;Numeral modificado por el artículo 6 de la Ley 1607 de 2012. El nuevo texto es el siguiente:&gt; El veinticinco por ciento (25%) del valor total de los pagos laborales, </w:t>
      </w:r>
      <w:r w:rsidRPr="009C2A40">
        <w:rPr>
          <w:rFonts w:eastAsia="Times New Roman"/>
          <w:i/>
          <w:iCs/>
          <w:szCs w:val="24"/>
          <w:lang w:eastAsia="es-CO"/>
        </w:rPr>
        <w:lastRenderedPageBreak/>
        <w:t>limitada mensualmente a doscientas cuarenta (240) UVT. El cálculo de esta renta exenta se efectuará una vez se detraiga del valor total de los pagos laborales recibidos por el trabajador, los ingresos no constitutivos de renta, las deducciones y las demás rentas exentas diferentes a la establecida en el presente numeral.</w:t>
      </w:r>
    </w:p>
    <w:p w:rsidR="00C84EF4" w:rsidRPr="009C2A40" w:rsidRDefault="00C84EF4" w:rsidP="00C84EF4">
      <w:pPr>
        <w:spacing w:line="240" w:lineRule="auto"/>
        <w:ind w:left="284"/>
        <w:rPr>
          <w:rFonts w:eastAsia="Times New Roman"/>
          <w:szCs w:val="24"/>
          <w:lang w:eastAsia="es-CO"/>
        </w:rPr>
      </w:pPr>
      <w:r w:rsidRPr="009C2A40">
        <w:rPr>
          <w:rFonts w:eastAsia="Times New Roman"/>
          <w:i/>
          <w:iCs/>
          <w:szCs w:val="24"/>
          <w:lang w:eastAsia="es-CO"/>
        </w:rPr>
        <w:t>(...)" </w:t>
      </w:r>
      <w:r w:rsidRPr="009C2A40">
        <w:rPr>
          <w:rFonts w:eastAsia="Times New Roman"/>
          <w:szCs w:val="24"/>
          <w:lang w:eastAsia="es-CO"/>
        </w:rPr>
        <w:t>(Negrilla fuera de texto).</w:t>
      </w:r>
    </w:p>
    <w:p w:rsidR="00C84EF4" w:rsidRPr="009C2A40" w:rsidRDefault="00C84EF4" w:rsidP="00C84EF4">
      <w:pPr>
        <w:spacing w:line="240" w:lineRule="auto"/>
        <w:rPr>
          <w:rFonts w:eastAsia="Times New Roman"/>
          <w:szCs w:val="24"/>
          <w:lang w:eastAsia="es-CO"/>
        </w:rPr>
      </w:pPr>
      <w:r w:rsidRPr="009C2A40">
        <w:rPr>
          <w:rFonts w:eastAsia="Times New Roman"/>
          <w:szCs w:val="24"/>
          <w:lang w:eastAsia="es-CO"/>
        </w:rPr>
        <w:t> </w:t>
      </w:r>
    </w:p>
    <w:p w:rsidR="00C84EF4" w:rsidRPr="009C2A40" w:rsidRDefault="00C84EF4" w:rsidP="00C84EF4">
      <w:pPr>
        <w:spacing w:line="240" w:lineRule="auto"/>
        <w:rPr>
          <w:rFonts w:eastAsia="Times New Roman"/>
          <w:szCs w:val="24"/>
          <w:lang w:eastAsia="es-CO"/>
        </w:rPr>
      </w:pPr>
      <w:r w:rsidRPr="009C2A40">
        <w:rPr>
          <w:rFonts w:eastAsia="Times New Roman"/>
          <w:szCs w:val="24"/>
          <w:lang w:eastAsia="es-CO"/>
        </w:rPr>
        <w:t xml:space="preserve">Así pues, una vez descontado el impuesto liquidado en el extranjero cancelado respecto de los pagos o abonos en cuenta provenientes de una relación laboral o legal y </w:t>
      </w:r>
      <w:proofErr w:type="spellStart"/>
      <w:r w:rsidRPr="009C2A40">
        <w:rPr>
          <w:rFonts w:eastAsia="Times New Roman"/>
          <w:szCs w:val="24"/>
          <w:lang w:eastAsia="es-CO"/>
        </w:rPr>
        <w:t>reglamentaria,</w:t>
      </w:r>
      <w:r w:rsidRPr="009C2A40">
        <w:rPr>
          <w:rFonts w:eastAsia="Times New Roman"/>
          <w:i/>
          <w:iCs/>
          <w:szCs w:val="24"/>
          <w:lang w:eastAsia="es-CO"/>
        </w:rPr>
        <w:t>"siempre</w:t>
      </w:r>
      <w:proofErr w:type="spellEnd"/>
      <w:r w:rsidRPr="009C2A40">
        <w:rPr>
          <w:rFonts w:eastAsia="Times New Roman"/>
          <w:i/>
          <w:iCs/>
          <w:szCs w:val="24"/>
          <w:lang w:eastAsia="es-CO"/>
        </w:rPr>
        <w:t xml:space="preserve"> que el descuento no exceda del monto del impuesto que deba pagar el contribuyente en Colombia", </w:t>
      </w:r>
      <w:r w:rsidRPr="009C2A40">
        <w:rPr>
          <w:rFonts w:eastAsia="Times New Roman"/>
          <w:szCs w:val="24"/>
          <w:lang w:eastAsia="es-CO"/>
        </w:rPr>
        <w:t>se podrá calcular el porcentaje de renta de trabajo exenta en los términos del</w:t>
      </w:r>
      <w:r w:rsidR="003145B2" w:rsidRPr="009C2A40">
        <w:rPr>
          <w:rFonts w:eastAsia="Times New Roman"/>
          <w:szCs w:val="24"/>
          <w:lang w:eastAsia="es-CO"/>
        </w:rPr>
        <w:t xml:space="preserve"> </w:t>
      </w:r>
      <w:hyperlink r:id="rId52" w:tooltip="Estatuto Tributario CETA" w:history="1">
        <w:r w:rsidRPr="009C2A40">
          <w:rPr>
            <w:rFonts w:eastAsia="Times New Roman"/>
            <w:szCs w:val="24"/>
            <w:lang w:eastAsia="es-CO"/>
          </w:rPr>
          <w:t>artículo 206</w:t>
        </w:r>
      </w:hyperlink>
      <w:r w:rsidRPr="009C2A40">
        <w:rPr>
          <w:rFonts w:eastAsia="Times New Roman"/>
          <w:szCs w:val="24"/>
          <w:lang w:eastAsia="es-CO"/>
        </w:rPr>
        <w:t> numeral 10 </w:t>
      </w:r>
      <w:r w:rsidRPr="009C2A40">
        <w:rPr>
          <w:rFonts w:eastAsia="Times New Roman"/>
          <w:i/>
          <w:iCs/>
          <w:szCs w:val="24"/>
          <w:lang w:eastAsia="es-CO"/>
        </w:rPr>
        <w:t>ibídem, "limitada mensualmente a doscientas cuarenta (240) UVT",</w:t>
      </w:r>
      <w:r w:rsidRPr="009C2A40">
        <w:rPr>
          <w:rFonts w:eastAsia="Times New Roman"/>
          <w:szCs w:val="24"/>
          <w:lang w:eastAsia="es-CO"/>
        </w:rPr>
        <w:t> siendo propicio advertir que, acorde con el inciso 2° del </w:t>
      </w:r>
      <w:hyperlink r:id="rId53" w:tooltip="Estatuto Tributario CETA" w:history="1">
        <w:r w:rsidRPr="009C2A40">
          <w:rPr>
            <w:rFonts w:eastAsia="Times New Roman"/>
            <w:szCs w:val="24"/>
            <w:lang w:eastAsia="es-CO"/>
          </w:rPr>
          <w:t>artículo 259</w:t>
        </w:r>
      </w:hyperlink>
      <w:r w:rsidRPr="009C2A40">
        <w:rPr>
          <w:rFonts w:eastAsia="Times New Roman"/>
          <w:szCs w:val="24"/>
          <w:lang w:eastAsia="es-CO"/>
        </w:rPr>
        <w:t> </w:t>
      </w:r>
      <w:r w:rsidR="003145B2" w:rsidRPr="009C2A40">
        <w:rPr>
          <w:rFonts w:eastAsia="Times New Roman"/>
          <w:i/>
          <w:iCs/>
          <w:szCs w:val="24"/>
          <w:lang w:eastAsia="es-CO"/>
        </w:rPr>
        <w:t>ibídem, "L</w:t>
      </w:r>
      <w:r w:rsidRPr="009C2A40">
        <w:rPr>
          <w:rFonts w:eastAsia="Times New Roman"/>
          <w:i/>
          <w:iCs/>
          <w:szCs w:val="24"/>
          <w:lang w:eastAsia="es-CO"/>
        </w:rPr>
        <w:t>a determinación del impuesto después de descuentos, </w:t>
      </w:r>
      <w:r w:rsidRPr="009C2A40">
        <w:rPr>
          <w:rFonts w:eastAsia="Times New Roman"/>
          <w:b/>
          <w:bCs/>
          <w:i/>
          <w:iCs/>
          <w:szCs w:val="24"/>
          <w:lang w:eastAsia="es-CO"/>
        </w:rPr>
        <w:t>en ningún caso podrá ser inferior al 75% del impuesto determinado por el sistema de renta presuntiva sobre patrimonio líquido,</w:t>
      </w:r>
      <w:r w:rsidR="003145B2" w:rsidRPr="009C2A40">
        <w:rPr>
          <w:rFonts w:eastAsia="Times New Roman"/>
          <w:b/>
          <w:bCs/>
          <w:i/>
          <w:iCs/>
          <w:szCs w:val="24"/>
          <w:lang w:eastAsia="es-CO"/>
        </w:rPr>
        <w:t xml:space="preserve"> </w:t>
      </w:r>
      <w:r w:rsidRPr="009C2A40">
        <w:rPr>
          <w:rFonts w:eastAsia="Times New Roman"/>
          <w:i/>
          <w:iCs/>
          <w:szCs w:val="24"/>
          <w:lang w:eastAsia="es-CO"/>
        </w:rPr>
        <w:t>antes de cualquier descuento tributario</w:t>
      </w:r>
      <w:r w:rsidRPr="009C2A40">
        <w:rPr>
          <w:rFonts w:eastAsia="Times New Roman"/>
          <w:szCs w:val="24"/>
          <w:lang w:eastAsia="es-CO"/>
        </w:rPr>
        <w:t> (negrilla fuera de texto)“.</w:t>
      </w:r>
    </w:p>
    <w:p w:rsidR="00C84EF4" w:rsidRPr="009C2A40" w:rsidRDefault="00C84EF4" w:rsidP="00C84EF4">
      <w:pPr>
        <w:spacing w:line="240" w:lineRule="auto"/>
        <w:rPr>
          <w:rFonts w:eastAsia="Times New Roman"/>
          <w:szCs w:val="24"/>
          <w:lang w:eastAsia="es-CO"/>
        </w:rPr>
      </w:pPr>
      <w:r w:rsidRPr="009C2A40">
        <w:rPr>
          <w:rFonts w:eastAsia="Times New Roman"/>
          <w:szCs w:val="24"/>
          <w:lang w:eastAsia="es-CO"/>
        </w:rPr>
        <w:t> </w:t>
      </w:r>
    </w:p>
    <w:p w:rsidR="00C84EF4" w:rsidRPr="009C2A40" w:rsidRDefault="00C84EF4" w:rsidP="00C84EF4">
      <w:pPr>
        <w:spacing w:line="240" w:lineRule="auto"/>
        <w:rPr>
          <w:rFonts w:eastAsia="Times New Roman"/>
          <w:szCs w:val="24"/>
          <w:lang w:eastAsia="es-CO"/>
        </w:rPr>
      </w:pPr>
      <w:r w:rsidRPr="009C2A40">
        <w:rPr>
          <w:rFonts w:eastAsia="Times New Roman"/>
          <w:szCs w:val="24"/>
          <w:lang w:eastAsia="es-CO"/>
        </w:rPr>
        <w:t> </w:t>
      </w:r>
    </w:p>
    <w:p w:rsidR="00C84EF4" w:rsidRPr="009C2A40" w:rsidRDefault="00C84EF4" w:rsidP="00C84EF4">
      <w:pPr>
        <w:spacing w:line="240" w:lineRule="auto"/>
        <w:rPr>
          <w:rFonts w:eastAsia="Times New Roman"/>
          <w:szCs w:val="24"/>
          <w:lang w:eastAsia="es-CO"/>
        </w:rPr>
      </w:pPr>
      <w:r w:rsidRPr="009C2A40">
        <w:rPr>
          <w:rFonts w:eastAsia="Times New Roman"/>
          <w:szCs w:val="24"/>
          <w:lang w:eastAsia="es-CO"/>
        </w:rPr>
        <w:t>Atentamente,</w:t>
      </w:r>
    </w:p>
    <w:p w:rsidR="00C84EF4" w:rsidRPr="009C2A40" w:rsidRDefault="00C84EF4" w:rsidP="00C84EF4">
      <w:pPr>
        <w:spacing w:line="240" w:lineRule="auto"/>
        <w:rPr>
          <w:rFonts w:eastAsia="Times New Roman"/>
          <w:szCs w:val="24"/>
          <w:lang w:eastAsia="es-CO"/>
        </w:rPr>
      </w:pPr>
      <w:r w:rsidRPr="009C2A40">
        <w:rPr>
          <w:rFonts w:eastAsia="Times New Roman"/>
          <w:szCs w:val="24"/>
          <w:lang w:eastAsia="es-CO"/>
        </w:rPr>
        <w:t> </w:t>
      </w:r>
    </w:p>
    <w:p w:rsidR="00C84EF4" w:rsidRPr="009C2A40" w:rsidRDefault="00C84EF4" w:rsidP="00C84EF4">
      <w:pPr>
        <w:spacing w:line="240" w:lineRule="auto"/>
        <w:rPr>
          <w:rFonts w:eastAsia="Times New Roman"/>
          <w:szCs w:val="24"/>
          <w:lang w:eastAsia="es-CO"/>
        </w:rPr>
      </w:pPr>
      <w:r w:rsidRPr="009C2A40">
        <w:rPr>
          <w:rFonts w:eastAsia="Times New Roman"/>
          <w:szCs w:val="24"/>
          <w:lang w:eastAsia="es-CO"/>
        </w:rPr>
        <w:t> </w:t>
      </w:r>
    </w:p>
    <w:p w:rsidR="00C84EF4" w:rsidRPr="009C2A40" w:rsidRDefault="00C84EF4" w:rsidP="00C84EF4">
      <w:pPr>
        <w:spacing w:line="240" w:lineRule="auto"/>
        <w:rPr>
          <w:rFonts w:eastAsia="Times New Roman"/>
          <w:szCs w:val="24"/>
          <w:lang w:eastAsia="es-CO"/>
        </w:rPr>
      </w:pPr>
      <w:r w:rsidRPr="009C2A40">
        <w:rPr>
          <w:rFonts w:eastAsia="Times New Roman"/>
          <w:b/>
          <w:bCs/>
          <w:szCs w:val="24"/>
          <w:lang w:eastAsia="es-CO"/>
        </w:rPr>
        <w:t>YUMER YOEL AGUILAR VARGAS</w:t>
      </w:r>
    </w:p>
    <w:p w:rsidR="00C84EF4" w:rsidRPr="009C2A40" w:rsidRDefault="00C84EF4" w:rsidP="00C84EF4">
      <w:pPr>
        <w:spacing w:line="240" w:lineRule="auto"/>
        <w:rPr>
          <w:rFonts w:eastAsia="Times New Roman"/>
          <w:szCs w:val="24"/>
          <w:lang w:eastAsia="es-CO"/>
        </w:rPr>
      </w:pPr>
      <w:r w:rsidRPr="009C2A40">
        <w:rPr>
          <w:rFonts w:eastAsia="Times New Roman"/>
          <w:szCs w:val="24"/>
          <w:lang w:eastAsia="es-CO"/>
        </w:rPr>
        <w:t>Subdirector de Gestión Normativa y Doctrina</w:t>
      </w:r>
    </w:p>
    <w:p w:rsidR="00B51D80" w:rsidRPr="009C2A40" w:rsidRDefault="00B51D80">
      <w:pPr>
        <w:rPr>
          <w:szCs w:val="24"/>
        </w:rPr>
      </w:pPr>
    </w:p>
    <w:p w:rsidR="009C2A40" w:rsidRPr="009C2A40" w:rsidRDefault="009C2A40">
      <w:pPr>
        <w:rPr>
          <w:szCs w:val="24"/>
        </w:rPr>
      </w:pPr>
    </w:p>
    <w:sectPr w:rsidR="009C2A40" w:rsidRPr="009C2A40" w:rsidSect="009C2A40">
      <w:pgSz w:w="12240" w:h="15840" w:code="1"/>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EF4"/>
    <w:rsid w:val="000E34E6"/>
    <w:rsid w:val="003145B2"/>
    <w:rsid w:val="009C2A40"/>
    <w:rsid w:val="00A067C7"/>
    <w:rsid w:val="00B51D80"/>
    <w:rsid w:val="00C84EF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16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eta.org.co/html/vista_de_un_articulo.asp?Norma=336" TargetMode="External"/><Relationship Id="rId18" Type="http://schemas.openxmlformats.org/officeDocument/2006/relationships/hyperlink" Target="http://www.ceta.org.co/html/vista_de_un_articulo.asp?Norma=31" TargetMode="External"/><Relationship Id="rId26" Type="http://schemas.openxmlformats.org/officeDocument/2006/relationships/hyperlink" Target="http://www.ceta.org.co/html/vista_de_un_documento.asp?DocumentoID=24911" TargetMode="External"/><Relationship Id="rId39" Type="http://schemas.openxmlformats.org/officeDocument/2006/relationships/hyperlink" Target="http://www.ceta.org.co/html/vista_de_un_articulo.asp?Norma=327" TargetMode="External"/><Relationship Id="rId21" Type="http://schemas.openxmlformats.org/officeDocument/2006/relationships/hyperlink" Target="http://www.ceta.org.co/html/vista_de_un_articulo.asp?Norma=359" TargetMode="External"/><Relationship Id="rId34" Type="http://schemas.openxmlformats.org/officeDocument/2006/relationships/hyperlink" Target="http://www.ceta.org.co/html/vista_de_un_documento.asp?DocumentoID=24911" TargetMode="External"/><Relationship Id="rId42" Type="http://schemas.openxmlformats.org/officeDocument/2006/relationships/hyperlink" Target="http://www.ceta.org.co/html/vista_de_un_documento.asp?DocumentoID=24911" TargetMode="External"/><Relationship Id="rId47" Type="http://schemas.openxmlformats.org/officeDocument/2006/relationships/hyperlink" Target="http://www.ceta.org.co/html/vista_de_un_articulo.asp?Norma=327" TargetMode="External"/><Relationship Id="rId50" Type="http://schemas.openxmlformats.org/officeDocument/2006/relationships/hyperlink" Target="http://www.ceta.org.co/html/vista_de_un_documento.asp?DocumentoID=24911" TargetMode="External"/><Relationship Id="rId55" Type="http://schemas.openxmlformats.org/officeDocument/2006/relationships/theme" Target="theme/theme1.xml"/><Relationship Id="rId7" Type="http://schemas.openxmlformats.org/officeDocument/2006/relationships/hyperlink" Target="http://www.ceta.org.co/html/vista_de_un_articulo.asp?Norma=155" TargetMode="External"/><Relationship Id="rId2" Type="http://schemas.microsoft.com/office/2007/relationships/stylesWithEffects" Target="stylesWithEffects.xml"/><Relationship Id="rId16" Type="http://schemas.openxmlformats.org/officeDocument/2006/relationships/hyperlink" Target="http://www.ceta.org.co/html/vista_de_un_articulo.asp?Norma=408" TargetMode="External"/><Relationship Id="rId29" Type="http://schemas.openxmlformats.org/officeDocument/2006/relationships/hyperlink" Target="http://www.ceta.org.co/html/vista_de_un_documento.asp?DocumentoID=24911" TargetMode="External"/><Relationship Id="rId11" Type="http://schemas.openxmlformats.org/officeDocument/2006/relationships/hyperlink" Target="http://www.ceta.org.co/html/vista_de_un_articulo.asp?Norma=327" TargetMode="External"/><Relationship Id="rId24" Type="http://schemas.openxmlformats.org/officeDocument/2006/relationships/hyperlink" Target="http://www.ceta.org.co/html/vista_de_un_documento.asp?DocumentoID=24911" TargetMode="External"/><Relationship Id="rId32" Type="http://schemas.openxmlformats.org/officeDocument/2006/relationships/hyperlink" Target="http://www.ceta.org.co/html/vista_de_un_articulo.asp?Norma=408" TargetMode="External"/><Relationship Id="rId37" Type="http://schemas.openxmlformats.org/officeDocument/2006/relationships/hyperlink" Target="http://www.ceta.org.co/html/vista_de_un_articulo.asp?Norma=173" TargetMode="External"/><Relationship Id="rId40" Type="http://schemas.openxmlformats.org/officeDocument/2006/relationships/hyperlink" Target="http://www.ceta.org.co/html/vista_de_un_articulo.asp?Norma=327" TargetMode="External"/><Relationship Id="rId45" Type="http://schemas.openxmlformats.org/officeDocument/2006/relationships/hyperlink" Target="http://www.ceta.org.co/html/vista_de_un_documento.asp?DocumentoID=24911" TargetMode="External"/><Relationship Id="rId53" Type="http://schemas.openxmlformats.org/officeDocument/2006/relationships/hyperlink" Target="http://www.ceta.org.co/html/vista_de_un_articulo.asp?Norma=334" TargetMode="External"/><Relationship Id="rId5" Type="http://schemas.openxmlformats.org/officeDocument/2006/relationships/hyperlink" Target="mailto:j_pinzon2007@hotmail.com" TargetMode="External"/><Relationship Id="rId10" Type="http://schemas.openxmlformats.org/officeDocument/2006/relationships/hyperlink" Target="http://www.ceta.org.co/html/vista_de_un_articulo.asp?Norma=272" TargetMode="External"/><Relationship Id="rId19" Type="http://schemas.openxmlformats.org/officeDocument/2006/relationships/hyperlink" Target="http://www.ceta.org.co/html/vista_de_un_articulo.asp?Norma=730" TargetMode="External"/><Relationship Id="rId31" Type="http://schemas.openxmlformats.org/officeDocument/2006/relationships/hyperlink" Target="http://www.ceta.org.co/html/vista_de_un_articulo.asp?Norma=193" TargetMode="External"/><Relationship Id="rId44" Type="http://schemas.openxmlformats.org/officeDocument/2006/relationships/hyperlink" Target="http://www.ceta.org.co/html/vista_de_un_documento.asp?DocumentoID=24911" TargetMode="External"/><Relationship Id="rId52" Type="http://schemas.openxmlformats.org/officeDocument/2006/relationships/hyperlink" Target="http://www.ceta.org.co/html/vista_de_un_articulo.asp?Norma=272" TargetMode="External"/><Relationship Id="rId4" Type="http://schemas.openxmlformats.org/officeDocument/2006/relationships/webSettings" Target="webSettings.xml"/><Relationship Id="rId9" Type="http://schemas.openxmlformats.org/officeDocument/2006/relationships/hyperlink" Target="http://www.ceta.org.co/html/vista_de_un_articulo.asp?Norma=252" TargetMode="External"/><Relationship Id="rId14" Type="http://schemas.openxmlformats.org/officeDocument/2006/relationships/hyperlink" Target="http://www.ceta.org.co/html/vista_de_un_articulo.asp?Norma=345" TargetMode="External"/><Relationship Id="rId22" Type="http://schemas.openxmlformats.org/officeDocument/2006/relationships/hyperlink" Target="http://www.ceta.org.co/html/vista_de_un_articulo.asp?Norma=252" TargetMode="External"/><Relationship Id="rId27" Type="http://schemas.openxmlformats.org/officeDocument/2006/relationships/hyperlink" Target="http://www.ceta.org.co/html/vista_de_un_documento.asp?DocumentoID=24911" TargetMode="External"/><Relationship Id="rId30" Type="http://schemas.openxmlformats.org/officeDocument/2006/relationships/hyperlink" Target="http://www.ceta.org.co/html/vista_de_un_articulo.asp?Norma=110" TargetMode="External"/><Relationship Id="rId35" Type="http://schemas.openxmlformats.org/officeDocument/2006/relationships/hyperlink" Target="http://www.ceta.org.co/html/vista_de_un_documento.asp?DocumentoID=24911" TargetMode="External"/><Relationship Id="rId43" Type="http://schemas.openxmlformats.org/officeDocument/2006/relationships/hyperlink" Target="http://www.ceta.org.co/html/vista_de_un_documento.asp?DocumentoID=24911" TargetMode="External"/><Relationship Id="rId48" Type="http://schemas.openxmlformats.org/officeDocument/2006/relationships/hyperlink" Target="http://www.ceta.org.co/html/vista_de_un_articulo.asp?Norma=272" TargetMode="External"/><Relationship Id="rId8" Type="http://schemas.openxmlformats.org/officeDocument/2006/relationships/hyperlink" Target="http://www.ceta.org.co/html/vista_de_un_articulo.asp?Norma=183" TargetMode="External"/><Relationship Id="rId51" Type="http://schemas.openxmlformats.org/officeDocument/2006/relationships/hyperlink" Target="http://www.ceta.org.co/html/vista_de_un_documento.asp?DocumentoID=24911" TargetMode="External"/><Relationship Id="rId3" Type="http://schemas.openxmlformats.org/officeDocument/2006/relationships/settings" Target="settings.xml"/><Relationship Id="rId12" Type="http://schemas.openxmlformats.org/officeDocument/2006/relationships/hyperlink" Target="http://www.ceta.org.co/html/vista_de_un_articulo.asp?Norma=334" TargetMode="External"/><Relationship Id="rId17" Type="http://schemas.openxmlformats.org/officeDocument/2006/relationships/hyperlink" Target="http://www.ceta.org.co/html/vista_de_un_articulo.asp?Norma=730" TargetMode="External"/><Relationship Id="rId25" Type="http://schemas.openxmlformats.org/officeDocument/2006/relationships/hyperlink" Target="http://www.ceta.org.co/html/vista_de_un_documento.asp?DocumentoID=24911" TargetMode="External"/><Relationship Id="rId33" Type="http://schemas.openxmlformats.org/officeDocument/2006/relationships/hyperlink" Target="http://www.ceta.org.co/html/vista_de_un_articulo.asp?Norma=31" TargetMode="External"/><Relationship Id="rId38" Type="http://schemas.openxmlformats.org/officeDocument/2006/relationships/hyperlink" Target="http://www.ceta.org.co/html/vista_de_un_articulo.asp?Norma=155" TargetMode="External"/><Relationship Id="rId46" Type="http://schemas.openxmlformats.org/officeDocument/2006/relationships/hyperlink" Target="http://www.ceta.org.co/html/vista_de_un_documento.asp?DocumentoID=24911" TargetMode="External"/><Relationship Id="rId20" Type="http://schemas.openxmlformats.org/officeDocument/2006/relationships/hyperlink" Target="http://www.ceta.org.co/html/vista_de_un_articulo.asp?Norma=336" TargetMode="External"/><Relationship Id="rId41" Type="http://schemas.openxmlformats.org/officeDocument/2006/relationships/hyperlink" Target="http://www.ceta.org.co/html/vista_de_un_documento.asp?DocumentoID=24911"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eta.org.co/html/vista_de_un_articulo.asp?Norma=31" TargetMode="External"/><Relationship Id="rId15" Type="http://schemas.openxmlformats.org/officeDocument/2006/relationships/hyperlink" Target="http://www.ceta.org.co/html/vista_de_un_articulo.asp?Norma=359" TargetMode="External"/><Relationship Id="rId23" Type="http://schemas.openxmlformats.org/officeDocument/2006/relationships/hyperlink" Target="http://www.ceta.org.co/html/vista_de_un_articulo.asp?Norma=345" TargetMode="External"/><Relationship Id="rId28" Type="http://schemas.openxmlformats.org/officeDocument/2006/relationships/hyperlink" Target="http://www.ceta.org.co/html/vista_de_un_documento.asp?DocumentoID=24911" TargetMode="External"/><Relationship Id="rId36" Type="http://schemas.openxmlformats.org/officeDocument/2006/relationships/hyperlink" Target="http://www.ceta.org.co/html/vista_de_un_articulo.asp?Norma=183" TargetMode="External"/><Relationship Id="rId49" Type="http://schemas.openxmlformats.org/officeDocument/2006/relationships/hyperlink" Target="http://www.ceta.org.co/html/vista_de_un_articulo.asp?Norma=27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3499</Words>
  <Characters>19247</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NACIONAL DE ESTUDIOS TRIBUTARIOS DE COLOMBIA</dc:creator>
  <cp:lastModifiedBy>CENTRO NACIONAL DE ESTUDIOS TRIBUTARIOS DE COLOMBIA </cp:lastModifiedBy>
  <cp:revision>4</cp:revision>
  <dcterms:created xsi:type="dcterms:W3CDTF">2014-10-30T19:51:00Z</dcterms:created>
  <dcterms:modified xsi:type="dcterms:W3CDTF">2014-11-23T12:35:00Z</dcterms:modified>
</cp:coreProperties>
</file>