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8B" w:rsidRPr="009A2C8B" w:rsidRDefault="009A2C8B" w:rsidP="009A2C8B">
      <w:pPr>
        <w:spacing w:line="240" w:lineRule="auto"/>
        <w:jc w:val="center"/>
        <w:rPr>
          <w:rFonts w:eastAsia="Times New Roman"/>
          <w:szCs w:val="24"/>
          <w:lang w:eastAsia="es-CO"/>
        </w:rPr>
      </w:pPr>
      <w:r w:rsidRPr="009A2C8B">
        <w:rPr>
          <w:rFonts w:eastAsia="Times New Roman"/>
          <w:b/>
          <w:bCs/>
          <w:szCs w:val="24"/>
          <w:lang w:eastAsia="es-CO"/>
        </w:rPr>
        <w:t>OFICIO N° 031236</w:t>
      </w:r>
    </w:p>
    <w:p w:rsidR="009A2C8B" w:rsidRPr="009A2C8B" w:rsidRDefault="009A2C8B" w:rsidP="009A2C8B">
      <w:pPr>
        <w:spacing w:line="240" w:lineRule="auto"/>
        <w:jc w:val="center"/>
        <w:rPr>
          <w:rFonts w:eastAsia="Times New Roman"/>
          <w:szCs w:val="24"/>
          <w:lang w:eastAsia="es-CO"/>
        </w:rPr>
      </w:pPr>
      <w:r w:rsidRPr="009A2C8B">
        <w:rPr>
          <w:rFonts w:eastAsia="Times New Roman"/>
          <w:b/>
          <w:szCs w:val="24"/>
          <w:lang w:eastAsia="es-CO"/>
        </w:rPr>
        <w:t>22-05-2014</w:t>
      </w:r>
    </w:p>
    <w:p w:rsidR="009A2C8B" w:rsidRPr="009A2C8B" w:rsidRDefault="009A2C8B" w:rsidP="009A2C8B">
      <w:pPr>
        <w:spacing w:line="240" w:lineRule="auto"/>
        <w:jc w:val="center"/>
        <w:rPr>
          <w:rFonts w:eastAsia="Times New Roman"/>
          <w:szCs w:val="24"/>
          <w:lang w:eastAsia="es-CO"/>
        </w:rPr>
      </w:pPr>
      <w:r w:rsidRPr="009A2C8B">
        <w:rPr>
          <w:rFonts w:eastAsia="Times New Roman"/>
          <w:b/>
          <w:szCs w:val="24"/>
          <w:lang w:eastAsia="es-CO"/>
        </w:rPr>
        <w:t>DIAN</w:t>
      </w:r>
    </w:p>
    <w:p w:rsidR="009A2C8B" w:rsidRPr="009A2C8B" w:rsidRDefault="009A2C8B" w:rsidP="009A2C8B">
      <w:pPr>
        <w:spacing w:line="240" w:lineRule="auto"/>
        <w:rPr>
          <w:rFonts w:eastAsia="Times New Roman"/>
          <w:szCs w:val="24"/>
          <w:lang w:eastAsia="es-CO"/>
        </w:rPr>
      </w:pPr>
      <w:r w:rsidRPr="009A2C8B">
        <w:rPr>
          <w:rFonts w:eastAsia="Times New Roman"/>
          <w:b/>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b/>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Subdirección de Gestión Normativa y Doctrina</w:t>
      </w:r>
    </w:p>
    <w:p w:rsidR="009A2C8B" w:rsidRDefault="009A2C8B" w:rsidP="009A2C8B">
      <w:pPr>
        <w:spacing w:line="240" w:lineRule="auto"/>
        <w:rPr>
          <w:rFonts w:eastAsia="Times New Roman"/>
          <w:szCs w:val="24"/>
          <w:lang w:eastAsia="es-CO"/>
        </w:rPr>
      </w:pPr>
    </w:p>
    <w:p w:rsidR="009A2C8B" w:rsidRDefault="009A2C8B" w:rsidP="009A2C8B">
      <w:pPr>
        <w:spacing w:line="240" w:lineRule="auto"/>
        <w:rPr>
          <w:rFonts w:eastAsia="Times New Roman"/>
          <w:szCs w:val="24"/>
          <w:lang w:eastAsia="es-CO"/>
        </w:rPr>
      </w:pPr>
    </w:p>
    <w:p w:rsidR="009A2C8B" w:rsidRPr="009A2C8B" w:rsidRDefault="009A2C8B" w:rsidP="009A2C8B">
      <w:pPr>
        <w:spacing w:line="240" w:lineRule="auto"/>
        <w:rPr>
          <w:rFonts w:eastAsia="Times New Roman"/>
          <w:szCs w:val="24"/>
          <w:lang w:eastAsia="es-CO"/>
        </w:rPr>
      </w:pPr>
      <w:bookmarkStart w:id="0" w:name="_GoBack"/>
      <w:bookmarkEnd w:id="0"/>
      <w:r w:rsidRPr="009A2C8B">
        <w:rPr>
          <w:rFonts w:eastAsia="Times New Roman"/>
          <w:szCs w:val="24"/>
          <w:lang w:eastAsia="es-CO"/>
        </w:rPr>
        <w:t>Doctora</w:t>
      </w:r>
    </w:p>
    <w:p w:rsidR="009A2C8B" w:rsidRPr="009A2C8B" w:rsidRDefault="009A2C8B" w:rsidP="009A2C8B">
      <w:pPr>
        <w:spacing w:line="240" w:lineRule="auto"/>
        <w:rPr>
          <w:rFonts w:eastAsia="Times New Roman"/>
          <w:szCs w:val="24"/>
          <w:lang w:eastAsia="es-CO"/>
        </w:rPr>
      </w:pPr>
      <w:r w:rsidRPr="009A2C8B">
        <w:rPr>
          <w:rFonts w:eastAsia="Times New Roman"/>
          <w:b/>
          <w:szCs w:val="24"/>
          <w:lang w:eastAsia="es-CO"/>
        </w:rPr>
        <w:t>ZAIDA C. ROCHA BELEÑO</w:t>
      </w:r>
    </w:p>
    <w:p w:rsidR="009A2C8B" w:rsidRPr="009A2C8B" w:rsidRDefault="009A2C8B" w:rsidP="009A2C8B">
      <w:pPr>
        <w:spacing w:line="240" w:lineRule="auto"/>
        <w:rPr>
          <w:rFonts w:eastAsia="Times New Roman"/>
          <w:szCs w:val="24"/>
          <w:lang w:eastAsia="es-CO"/>
        </w:rPr>
      </w:pPr>
      <w:proofErr w:type="spellStart"/>
      <w:r w:rsidRPr="009A2C8B">
        <w:rPr>
          <w:rFonts w:eastAsia="Times New Roman"/>
          <w:szCs w:val="24"/>
          <w:lang w:eastAsia="es-CO"/>
        </w:rPr>
        <w:t>Meg</w:t>
      </w:r>
      <w:proofErr w:type="spellEnd"/>
      <w:r w:rsidRPr="009A2C8B">
        <w:rPr>
          <w:rFonts w:eastAsia="Times New Roman"/>
          <w:szCs w:val="24"/>
          <w:lang w:eastAsia="es-CO"/>
        </w:rPr>
        <w:t xml:space="preserve"> Obras</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xml:space="preserve">Calle 4A N°. 20-18 </w:t>
      </w:r>
      <w:proofErr w:type="gramStart"/>
      <w:r w:rsidRPr="009A2C8B">
        <w:rPr>
          <w:rFonts w:eastAsia="Times New Roman"/>
          <w:szCs w:val="24"/>
          <w:lang w:eastAsia="es-CO"/>
        </w:rPr>
        <w:t>barrio</w:t>
      </w:r>
      <w:proofErr w:type="gramEnd"/>
      <w:r w:rsidRPr="009A2C8B">
        <w:rPr>
          <w:rFonts w:eastAsia="Times New Roman"/>
          <w:szCs w:val="24"/>
          <w:lang w:eastAsia="es-CO"/>
        </w:rPr>
        <w:t xml:space="preserve"> Villalba</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Valledupar (Cesar)</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xml:space="preserve">Referencia: </w:t>
      </w:r>
      <w:r w:rsidRPr="009A2C8B">
        <w:rPr>
          <w:rFonts w:eastAsia="Times New Roman"/>
          <w:szCs w:val="24"/>
          <w:lang w:eastAsia="es-CO"/>
        </w:rPr>
        <w:t>Radicado 87146 del 16/12/2013</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xml:space="preserve">TEMA: </w:t>
      </w:r>
      <w:r w:rsidRPr="009A2C8B">
        <w:rPr>
          <w:rFonts w:eastAsia="Times New Roman"/>
          <w:szCs w:val="24"/>
          <w:lang w:eastAsia="es-CO"/>
        </w:rPr>
        <w:t>Impuesto sobre la renta para la equidad (CREE).</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xml:space="preserve">DESCRIPTORES: </w:t>
      </w:r>
      <w:r w:rsidRPr="009A2C8B">
        <w:rPr>
          <w:rFonts w:eastAsia="Times New Roman"/>
          <w:szCs w:val="24"/>
          <w:lang w:eastAsia="es-CO"/>
        </w:rPr>
        <w:t>Retención en la fuente CREE- Consorcios y Uniones Temporales.</w:t>
      </w:r>
    </w:p>
    <w:p w:rsidR="009A2C8B" w:rsidRPr="009A2C8B" w:rsidRDefault="009A2C8B" w:rsidP="009A2C8B">
      <w:pPr>
        <w:spacing w:line="240" w:lineRule="auto"/>
        <w:rPr>
          <w:rFonts w:eastAsia="Times New Roman"/>
          <w:szCs w:val="24"/>
          <w:lang w:eastAsia="es-CO"/>
        </w:rPr>
      </w:pPr>
      <w:r w:rsidRPr="009A2C8B">
        <w:rPr>
          <w:rFonts w:eastAsia="Times New Roman"/>
          <w:b/>
          <w:bCs/>
          <w:szCs w:val="24"/>
          <w:lang w:eastAsia="es-CO"/>
        </w:rPr>
        <w:t xml:space="preserve">FUENTES FORMALES: </w:t>
      </w:r>
      <w:r w:rsidRPr="009A2C8B">
        <w:rPr>
          <w:rFonts w:eastAsia="Times New Roman"/>
          <w:szCs w:val="24"/>
          <w:lang w:eastAsia="es-CO"/>
        </w:rPr>
        <w:t>Ley 1607 de 2012 y Decreto número 1828 de 2013.</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Cordial saludo, doctora Zaida:</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De conformidad con el artículo 20 del Decreto número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xml:space="preserve">Consulta si los consorcios deben efectuar </w:t>
      </w:r>
      <w:proofErr w:type="spellStart"/>
      <w:r w:rsidRPr="009A2C8B">
        <w:rPr>
          <w:rFonts w:eastAsia="Times New Roman"/>
          <w:szCs w:val="24"/>
          <w:lang w:eastAsia="es-CO"/>
        </w:rPr>
        <w:t>autorretención</w:t>
      </w:r>
      <w:proofErr w:type="spellEnd"/>
      <w:r w:rsidRPr="009A2C8B">
        <w:rPr>
          <w:rFonts w:eastAsia="Times New Roman"/>
          <w:szCs w:val="24"/>
          <w:lang w:eastAsia="es-CO"/>
        </w:rPr>
        <w:t xml:space="preserve"> a título del Impuesto sobre la renta para la Equidad (CREE), la periodicidad y si se excluyen de pago de los aportes parafiscales.</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El artículo 20 de la Ley 1607 de 2012 establece como sujetos pasivos del impuesto sobre la renta para la equidad (CREE), a las sociedades, personas jurídicas y asimiladas contribuyentes declarantes del impuesto sobre la renta y complementarios y a las sociedades y entidades extranjeras contribuyentes declarantes del impuesto sobre la renta; así como a quienes no hayan sido previstas en la ley de manera expresa como sujetos pasivos.</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A su vez, el artículo 1° del Decreto número 1828 de 2013, establece.</w:t>
      </w:r>
    </w:p>
    <w:p w:rsidR="009A2C8B" w:rsidRPr="009A2C8B" w:rsidRDefault="009A2C8B" w:rsidP="009A2C8B">
      <w:pPr>
        <w:spacing w:line="240" w:lineRule="auto"/>
        <w:ind w:left="284"/>
        <w:rPr>
          <w:rFonts w:eastAsia="Times New Roman"/>
          <w:szCs w:val="24"/>
          <w:lang w:eastAsia="es-CO"/>
        </w:rPr>
      </w:pPr>
      <w:r w:rsidRPr="009A2C8B">
        <w:rPr>
          <w:rFonts w:eastAsia="Times New Roman"/>
          <w:i/>
          <w:iCs/>
          <w:szCs w:val="24"/>
          <w:lang w:eastAsia="es-CO"/>
        </w:rPr>
        <w:t> </w:t>
      </w:r>
    </w:p>
    <w:p w:rsidR="009A2C8B" w:rsidRPr="009A2C8B" w:rsidRDefault="009A2C8B" w:rsidP="009A2C8B">
      <w:pPr>
        <w:spacing w:line="240" w:lineRule="auto"/>
        <w:ind w:left="284"/>
        <w:rPr>
          <w:rFonts w:eastAsia="Times New Roman"/>
          <w:szCs w:val="24"/>
          <w:lang w:eastAsia="es-CO"/>
        </w:rPr>
      </w:pPr>
      <w:r w:rsidRPr="009A2C8B">
        <w:rPr>
          <w:rFonts w:eastAsia="Times New Roman"/>
          <w:i/>
          <w:iCs/>
          <w:szCs w:val="24"/>
          <w:lang w:eastAsia="es-CO"/>
        </w:rPr>
        <w:t>“Artículo 1°. Contribuyentes sujetos pasivos del Impuesto sobre la Renta para la Equidad (CREE). De conformidad con el artículo 20 de la Ley 1607 de 2012, son sujetos pasivos del impuesto sobre la renta para la equidad (CREE), las sociedades, personas jurídicas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w:t>
      </w:r>
    </w:p>
    <w:p w:rsidR="009A2C8B" w:rsidRPr="009A2C8B" w:rsidRDefault="009A2C8B" w:rsidP="009A2C8B">
      <w:pPr>
        <w:spacing w:line="240" w:lineRule="auto"/>
        <w:ind w:left="284"/>
        <w:rPr>
          <w:rFonts w:eastAsia="Times New Roman"/>
          <w:szCs w:val="24"/>
          <w:lang w:eastAsia="es-CO"/>
        </w:rPr>
      </w:pPr>
      <w:r w:rsidRPr="009A2C8B">
        <w:rPr>
          <w:rFonts w:eastAsia="Times New Roman"/>
          <w:i/>
          <w:iCs/>
          <w:szCs w:val="24"/>
          <w:lang w:eastAsia="es-CO"/>
        </w:rPr>
        <w:t> </w:t>
      </w:r>
    </w:p>
    <w:p w:rsidR="009A2C8B" w:rsidRPr="009A2C8B" w:rsidRDefault="009A2C8B" w:rsidP="009A2C8B">
      <w:pPr>
        <w:spacing w:line="240" w:lineRule="auto"/>
        <w:ind w:left="284"/>
        <w:rPr>
          <w:rFonts w:eastAsia="Times New Roman"/>
          <w:szCs w:val="24"/>
          <w:lang w:eastAsia="es-CO"/>
        </w:rPr>
      </w:pPr>
      <w:r w:rsidRPr="009A2C8B">
        <w:rPr>
          <w:rFonts w:eastAsia="Times New Roman"/>
          <w:i/>
          <w:iCs/>
          <w:szCs w:val="24"/>
          <w:lang w:eastAsia="es-CO"/>
        </w:rPr>
        <w:t xml:space="preserve">No son sujetos pasivos del Impuesto sobre la Renta para la Equidad (CREE), las entidades sin ánimo de lucro, así como las sociedades declaradas como zonas francas a 31 de diciembre de 2012, o aquellas que a dicha fecha hubieren radicado la respectiva solicitud ante el Comité Intersectorial de Zonas Francas, y los usuarios que se hayan calificado o se califiquen a futuro en estas que se encuentren sujetos a la tarifa especial del impuesto sobre la renta del quince por ciento (15%) establecida en el inciso primero del </w:t>
      </w:r>
      <w:hyperlink r:id="rId5" w:tooltip="Estatuto Tributario CETA" w:history="1">
        <w:r w:rsidRPr="009A2C8B">
          <w:rPr>
            <w:rFonts w:eastAsia="Times New Roman"/>
            <w:i/>
            <w:iCs/>
            <w:szCs w:val="24"/>
            <w:u w:val="single"/>
            <w:lang w:eastAsia="es-CO"/>
          </w:rPr>
          <w:t>artículo 240-1</w:t>
        </w:r>
      </w:hyperlink>
      <w:r w:rsidRPr="009A2C8B">
        <w:rPr>
          <w:rFonts w:eastAsia="Times New Roman"/>
          <w:i/>
          <w:iCs/>
          <w:szCs w:val="24"/>
          <w:lang w:eastAsia="es-CO"/>
        </w:rPr>
        <w:t xml:space="preserve"> del Estatuto Tributario; así como quienes no hayan sido </w:t>
      </w:r>
      <w:r w:rsidRPr="009A2C8B">
        <w:rPr>
          <w:rFonts w:eastAsia="Times New Roman"/>
          <w:i/>
          <w:iCs/>
          <w:szCs w:val="24"/>
          <w:lang w:eastAsia="es-CO"/>
        </w:rPr>
        <w:lastRenderedPageBreak/>
        <w:t>previstas en la ley de manera expresa como sujetos pasivos. Estos sujetos continuarán obligados al pago de los aportes parafiscales y las cotizaciones en los términos previstos por las disposiciones que rigen la materia, y en consecuencia no les es aplicable lo dispuesto en el presente decreto”.</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xml:space="preserve">El artículo 2° del decreto ibídem, en relación con la figura de la </w:t>
      </w:r>
      <w:proofErr w:type="spellStart"/>
      <w:r w:rsidRPr="009A2C8B">
        <w:rPr>
          <w:rFonts w:eastAsia="Times New Roman"/>
          <w:szCs w:val="24"/>
          <w:lang w:eastAsia="es-CO"/>
        </w:rPr>
        <w:t>autorretención</w:t>
      </w:r>
      <w:proofErr w:type="spellEnd"/>
      <w:r w:rsidRPr="009A2C8B">
        <w:rPr>
          <w:rFonts w:eastAsia="Times New Roman"/>
          <w:szCs w:val="24"/>
          <w:lang w:eastAsia="es-CO"/>
        </w:rPr>
        <w:t xml:space="preserve">, precisó que a partir del 1° de septiembre de 2013, para efectos del recaudo y administración del impuesto sobre la renta para la equidad (CREE), todos los sujetos pasivos del mismo tendrán la calidad de </w:t>
      </w:r>
      <w:proofErr w:type="spellStart"/>
      <w:r w:rsidRPr="009A2C8B">
        <w:rPr>
          <w:rFonts w:eastAsia="Times New Roman"/>
          <w:szCs w:val="24"/>
          <w:lang w:eastAsia="es-CO"/>
        </w:rPr>
        <w:t>autorretenedores</w:t>
      </w:r>
      <w:proofErr w:type="spellEnd"/>
      <w:r w:rsidRPr="009A2C8B">
        <w:rPr>
          <w:rFonts w:eastAsia="Times New Roman"/>
          <w:szCs w:val="24"/>
          <w:lang w:eastAsia="es-CO"/>
        </w:rPr>
        <w:t>.</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xml:space="preserve">Para tal efecto, la </w:t>
      </w:r>
      <w:proofErr w:type="spellStart"/>
      <w:r w:rsidRPr="009A2C8B">
        <w:rPr>
          <w:rFonts w:eastAsia="Times New Roman"/>
          <w:szCs w:val="24"/>
          <w:lang w:eastAsia="es-CO"/>
        </w:rPr>
        <w:t>autorretención</w:t>
      </w:r>
      <w:proofErr w:type="spellEnd"/>
      <w:r w:rsidRPr="009A2C8B">
        <w:rPr>
          <w:rFonts w:eastAsia="Times New Roman"/>
          <w:szCs w:val="24"/>
          <w:lang w:eastAsia="es-CO"/>
        </w:rPr>
        <w:t xml:space="preserve"> de este impuesto se liquidará sobre cada pago o abono en cuenta realizado al contribuyente sujeto pasivo del CREE, de acuerdo con las actividades económicas y a las tarifas establecidas por la misma norma.</w:t>
      </w:r>
    </w:p>
    <w:p w:rsidR="009A2C8B" w:rsidRPr="009A2C8B" w:rsidRDefault="009A2C8B" w:rsidP="009A2C8B">
      <w:pPr>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xml:space="preserve">Acorde con lo anterior, los Consorcios y Uniones Temporales, no son contribuyentes declarantes del impuesto sobre la renta y complementarios, y en consecuencia no son sujetos pasivos del impuesto sobre la renta para la Equidad (CREE), como tampoco tienen la calidad de </w:t>
      </w:r>
      <w:proofErr w:type="spellStart"/>
      <w:r w:rsidRPr="009A2C8B">
        <w:rPr>
          <w:rFonts w:eastAsia="Times New Roman"/>
          <w:szCs w:val="24"/>
          <w:lang w:eastAsia="es-CO"/>
        </w:rPr>
        <w:t>autorretenedores</w:t>
      </w:r>
      <w:proofErr w:type="spellEnd"/>
      <w:r w:rsidRPr="009A2C8B">
        <w:rPr>
          <w:rFonts w:eastAsia="Times New Roman"/>
          <w:szCs w:val="24"/>
          <w:lang w:eastAsia="es-CO"/>
        </w:rPr>
        <w:t xml:space="preserve"> a título de este impuesto.</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xml:space="preserve">Ahora bien, si un Consorcio o Unión Temporal está integrado por personas jurídicas y personas naturales, comoquiera que acorde con el contenido del artículo 20 de la Ley 1607 de 2012, estas últimas no están consideradas como sujetos pasivos del impuesto sobre la renta para la Equidad (CREE), no tienen la calidad de </w:t>
      </w:r>
      <w:proofErr w:type="spellStart"/>
      <w:r w:rsidRPr="009A2C8B">
        <w:rPr>
          <w:rFonts w:eastAsia="Times New Roman"/>
          <w:szCs w:val="24"/>
          <w:lang w:eastAsia="es-CO"/>
        </w:rPr>
        <w:t>autorretenedores</w:t>
      </w:r>
      <w:proofErr w:type="spellEnd"/>
      <w:r w:rsidRPr="009A2C8B">
        <w:rPr>
          <w:rFonts w:eastAsia="Times New Roman"/>
          <w:szCs w:val="24"/>
          <w:lang w:eastAsia="es-CO"/>
        </w:rPr>
        <w:t xml:space="preserve"> de este impuesto. Situación diferente acontece en relación con los integrantes del consorcio o unión temporal, que sean personas jurídicas y sujetos pasivo de conformidad con lo previsto en el artículo 20 de la Ley 1607 de 2012 y el Decreto Reglamentario 1828 de 2012, porque en este caso al tener la calidad de </w:t>
      </w:r>
      <w:proofErr w:type="spellStart"/>
      <w:r w:rsidRPr="009A2C8B">
        <w:rPr>
          <w:rFonts w:eastAsia="Times New Roman"/>
          <w:szCs w:val="24"/>
          <w:lang w:eastAsia="es-CO"/>
        </w:rPr>
        <w:t>autorretenedor</w:t>
      </w:r>
      <w:proofErr w:type="spellEnd"/>
      <w:r w:rsidRPr="009A2C8B">
        <w:rPr>
          <w:rFonts w:eastAsia="Times New Roman"/>
          <w:szCs w:val="24"/>
          <w:lang w:eastAsia="es-CO"/>
        </w:rPr>
        <w:t xml:space="preserve"> del CREE, deberá actuar en su calidad al momento de la percepción del ingreso o abono en cuenta gravado con el mismo.</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Así las cosas, para el caso del Impuesto sobre la Renta para la Equidad (CREE), los integrantes del Consorcio o Unión Temporal son considerados de manera individual.</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xml:space="preserve">En cuanto a la periodicidad para la presentación y pago de la declaración de </w:t>
      </w:r>
      <w:proofErr w:type="spellStart"/>
      <w:r w:rsidRPr="009A2C8B">
        <w:rPr>
          <w:rFonts w:eastAsia="Times New Roman"/>
          <w:szCs w:val="24"/>
          <w:lang w:eastAsia="es-CO"/>
        </w:rPr>
        <w:t>autorretención</w:t>
      </w:r>
      <w:proofErr w:type="spellEnd"/>
      <w:r w:rsidRPr="009A2C8B">
        <w:rPr>
          <w:rFonts w:eastAsia="Times New Roman"/>
          <w:szCs w:val="24"/>
          <w:lang w:eastAsia="es-CO"/>
        </w:rPr>
        <w:t xml:space="preserve"> del CREE, los sujetos pasivos del impuesto sobre la renta para la Equidad (CREE), de acuerdo con el artículo 3° del Decreto número 1828 de 2013, deberán declarar y pagar las </w:t>
      </w:r>
      <w:proofErr w:type="spellStart"/>
      <w:r w:rsidRPr="009A2C8B">
        <w:rPr>
          <w:rFonts w:eastAsia="Times New Roman"/>
          <w:szCs w:val="24"/>
          <w:lang w:eastAsia="es-CO"/>
        </w:rPr>
        <w:t>autorretenciones</w:t>
      </w:r>
      <w:proofErr w:type="spellEnd"/>
      <w:r w:rsidRPr="009A2C8B">
        <w:rPr>
          <w:rFonts w:eastAsia="Times New Roman"/>
          <w:szCs w:val="24"/>
          <w:lang w:eastAsia="es-CO"/>
        </w:rPr>
        <w:t xml:space="preserve"> efectuadas en cada mes, en el formulario prescrito por la Dirección de Impuestos y Aduanas Nacionales, para lo cual deberán tener en cuenta que si son contribuyentes </w:t>
      </w:r>
      <w:proofErr w:type="spellStart"/>
      <w:r w:rsidRPr="009A2C8B">
        <w:rPr>
          <w:rFonts w:eastAsia="Times New Roman"/>
          <w:szCs w:val="24"/>
          <w:lang w:eastAsia="es-CO"/>
        </w:rPr>
        <w:t>autorretenedores</w:t>
      </w:r>
      <w:proofErr w:type="spellEnd"/>
      <w:r w:rsidRPr="009A2C8B">
        <w:rPr>
          <w:rFonts w:eastAsia="Times New Roman"/>
          <w:szCs w:val="24"/>
          <w:lang w:eastAsia="es-CO"/>
        </w:rPr>
        <w:t xml:space="preserve"> cuyos ingresos brutos a 31 diciembre de 2012 fueron iguales o superiores a 92.000 UVT deberán presentar la declaración mensual de retención en la fuente a título de CREE, y si son contribuyentes </w:t>
      </w:r>
      <w:proofErr w:type="spellStart"/>
      <w:r w:rsidRPr="009A2C8B">
        <w:rPr>
          <w:rFonts w:eastAsia="Times New Roman"/>
          <w:szCs w:val="24"/>
          <w:lang w:eastAsia="es-CO"/>
        </w:rPr>
        <w:t>autorretenedores</w:t>
      </w:r>
      <w:proofErr w:type="spellEnd"/>
      <w:r w:rsidRPr="009A2C8B">
        <w:rPr>
          <w:rFonts w:eastAsia="Times New Roman"/>
          <w:szCs w:val="24"/>
          <w:lang w:eastAsia="es-CO"/>
        </w:rPr>
        <w:t xml:space="preserve"> cuyos ingresos brutos a 31 diciembre de 2012 fueron inferiores a 92.000 UVT deberán presentar la declaración de retención en la fuente a título de CREE cada cuatro meses.</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Con respecto a la exoneración de aportes parafiscales, es pertinente señalar que mediante el Concepto número 079816 de diciembre 12 de 2013, se indicó:</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t> </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t>“El artículo 25 de la ley 1607 de 2012, consagra: “Exoneración de Aportes. A partir del momento en que el Gobierno Nacional implemente el sistema de retenciones en la fuente para el recaudo del Impuesto sobre la Renta para la Equidad (CREE), y en todo caso antes del 1° de julio de 2013, estarán exoneradas del pago de los aportes parafiscales a favor del Servicio Nacional de Aprendizaje (Sena) y del Instituto Colombiano de Bienestar Familiar (ICBF), las sociedades y personas jurídicas y asimiladas contribuyentes declarantes del impuesto sobre la renta y complementarios, correspondientes a los trabajadores que devenguen, individualmente considerados, hasta diez (10) salarios mínimos mensuales legales vigentes.</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t> </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lastRenderedPageBreak/>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Disposición reglamentada por el artículo 7° del Decreto número 1828 de agosto 27 de 2013.</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t> </w:t>
      </w:r>
    </w:p>
    <w:p w:rsidR="009A2C8B" w:rsidRPr="009A2C8B" w:rsidRDefault="009A2C8B" w:rsidP="009A2C8B">
      <w:pPr>
        <w:adjustRightInd w:val="0"/>
        <w:spacing w:line="240" w:lineRule="auto"/>
        <w:ind w:left="284"/>
        <w:rPr>
          <w:rFonts w:eastAsia="Times New Roman"/>
          <w:szCs w:val="24"/>
          <w:lang w:eastAsia="es-CO"/>
        </w:rPr>
      </w:pPr>
      <w:r w:rsidRPr="009A2C8B">
        <w:rPr>
          <w:rFonts w:eastAsia="Times New Roman"/>
          <w:i/>
          <w:iCs/>
          <w:szCs w:val="24"/>
          <w:lang w:eastAsia="es-CO"/>
        </w:rPr>
        <w:t>Como se observa, no obstante no ser sujetos pasivos, las personas naturales empleadoras pueden beneficiarse con la exoneración de aportes parafiscales en los términos previstos. Con base en lo señalado en la respuesta anterior, podemos afirmar que los Consorcios y Uniones Temporales, en su calidad de contrato de colaboración empresarial, no se enmarcan dentro de las previsiones del artículo 25 de la Ley 1607 de 2012 y en consecuencia no pueden acceder a la exoneración de aportes parafiscales, allí prevista. No obstante, habrá igualmente que mirarse cada integrante en particular”.</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Este último pronunciamiento precisa y aclara lo señalado en el Oficio número 079476 de diciembre 11 de 2013, en cuanto a que los Consorcios o Uniones Temporales no acceden de manera directa a los beneficios de exoneración de los aportes parafiscales, de que trata el artículo 25 de la Ley 1607 de 2012, sino cuando la contratación la realicen sus integrantes directamente y por los trabajadores que cumplan las condiciones y particularidades establecidas por la Ley 1607 de 2012 y el Decreto Reglamentario 1828 de 2013, el que lo modifique o sustituya.</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En este sentido se aclara el oficio número 079476 de diciembre 11 de 2013.</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Atentamente,</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szCs w:val="24"/>
          <w:lang w:eastAsia="es-CO"/>
        </w:rPr>
        <w:t> </w:t>
      </w:r>
    </w:p>
    <w:p w:rsidR="009A2C8B" w:rsidRPr="009A2C8B" w:rsidRDefault="009A2C8B" w:rsidP="009A2C8B">
      <w:pPr>
        <w:adjustRightInd w:val="0"/>
        <w:spacing w:line="240" w:lineRule="auto"/>
        <w:rPr>
          <w:rFonts w:eastAsia="Times New Roman"/>
          <w:szCs w:val="24"/>
          <w:lang w:eastAsia="es-CO"/>
        </w:rPr>
      </w:pPr>
      <w:r w:rsidRPr="009A2C8B">
        <w:rPr>
          <w:rFonts w:eastAsia="Times New Roman"/>
          <w:b/>
          <w:szCs w:val="24"/>
          <w:lang w:eastAsia="es-CO"/>
        </w:rPr>
        <w:t>Subdirectora de Gestión Normativa y Doctrina (e),</w:t>
      </w:r>
    </w:p>
    <w:p w:rsidR="009A2C8B" w:rsidRPr="009A2C8B" w:rsidRDefault="009A2C8B" w:rsidP="009A2C8B">
      <w:pPr>
        <w:spacing w:line="240" w:lineRule="auto"/>
        <w:jc w:val="right"/>
        <w:rPr>
          <w:rFonts w:eastAsia="Times New Roman"/>
          <w:szCs w:val="24"/>
          <w:lang w:eastAsia="es-CO"/>
        </w:rPr>
      </w:pPr>
      <w:r w:rsidRPr="009A2C8B">
        <w:rPr>
          <w:rFonts w:eastAsia="Times New Roman"/>
          <w:b/>
          <w:i/>
          <w:iCs/>
          <w:szCs w:val="24"/>
          <w:lang w:eastAsia="es-CO"/>
        </w:rPr>
        <w:t> </w:t>
      </w:r>
    </w:p>
    <w:p w:rsidR="009A2C8B" w:rsidRPr="009A2C8B" w:rsidRDefault="009A2C8B" w:rsidP="009A2C8B">
      <w:pPr>
        <w:spacing w:line="240" w:lineRule="auto"/>
        <w:rPr>
          <w:rFonts w:eastAsia="Times New Roman"/>
          <w:szCs w:val="24"/>
          <w:lang w:eastAsia="es-CO"/>
        </w:rPr>
      </w:pPr>
      <w:proofErr w:type="spellStart"/>
      <w:r w:rsidRPr="009A2C8B">
        <w:rPr>
          <w:rFonts w:eastAsia="Times New Roman"/>
          <w:i/>
          <w:iCs/>
          <w:szCs w:val="24"/>
          <w:lang w:eastAsia="es-CO"/>
        </w:rPr>
        <w:t>Edy</w:t>
      </w:r>
      <w:proofErr w:type="spellEnd"/>
      <w:r w:rsidRPr="009A2C8B">
        <w:rPr>
          <w:rFonts w:eastAsia="Times New Roman"/>
          <w:i/>
          <w:iCs/>
          <w:szCs w:val="24"/>
          <w:lang w:eastAsia="es-CO"/>
        </w:rPr>
        <w:t xml:space="preserve"> Alexandra Fajardo Mendoza.</w:t>
      </w:r>
    </w:p>
    <w:p w:rsidR="009A2C8B" w:rsidRPr="009A2C8B" w:rsidRDefault="009A2C8B" w:rsidP="009A2C8B">
      <w:pPr>
        <w:spacing w:line="240" w:lineRule="auto"/>
        <w:rPr>
          <w:rFonts w:eastAsia="Times New Roman"/>
          <w:szCs w:val="24"/>
          <w:lang w:eastAsia="es-CO"/>
        </w:rPr>
      </w:pPr>
      <w:r w:rsidRPr="009A2C8B">
        <w:rPr>
          <w:rFonts w:eastAsia="Times New Roman"/>
          <w:i/>
          <w:iCs/>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i/>
          <w:iCs/>
          <w:szCs w:val="24"/>
          <w:lang w:eastAsia="es-CO"/>
        </w:rPr>
        <w:t> </w:t>
      </w:r>
    </w:p>
    <w:p w:rsidR="009A2C8B" w:rsidRPr="009A2C8B" w:rsidRDefault="009A2C8B" w:rsidP="009A2C8B">
      <w:pPr>
        <w:spacing w:line="240" w:lineRule="auto"/>
        <w:rPr>
          <w:rFonts w:eastAsia="Times New Roman"/>
          <w:szCs w:val="24"/>
          <w:lang w:eastAsia="es-CO"/>
        </w:rPr>
      </w:pPr>
      <w:r w:rsidRPr="009A2C8B">
        <w:rPr>
          <w:rFonts w:eastAsia="Times New Roman"/>
          <w:b/>
          <w:iCs/>
          <w:szCs w:val="24"/>
          <w:lang w:eastAsia="es-CO"/>
        </w:rPr>
        <w:t>Publicado en D.O. 49.178 del 10 de junio de 2014.</w:t>
      </w:r>
    </w:p>
    <w:p w:rsidR="00B51D80" w:rsidRPr="009A2C8B" w:rsidRDefault="00B51D80">
      <w:pPr>
        <w:rPr>
          <w:szCs w:val="24"/>
        </w:rPr>
      </w:pPr>
    </w:p>
    <w:sectPr w:rsidR="00B51D80" w:rsidRPr="009A2C8B"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8B"/>
    <w:rsid w:val="009A2C8B"/>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31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2014-06-22T14:32:00Z</dcterms:created>
  <dcterms:modified xsi:type="dcterms:W3CDTF">2014-06-22T14:35:00Z</dcterms:modified>
</cp:coreProperties>
</file>