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02" w:rsidRDefault="00D93202" w:rsidP="00D93202">
      <w:pPr>
        <w:spacing w:line="240" w:lineRule="auto"/>
        <w:rPr>
          <w:rFonts w:ascii="Segoe UI" w:eastAsia="Times New Roman" w:hAnsi="Segoe UI" w:cs="Segoe UI"/>
          <w:szCs w:val="24"/>
          <w:lang w:eastAsia="es-CO"/>
        </w:rPr>
      </w:pPr>
    </w:p>
    <w:p w:rsidR="00D93202" w:rsidRDefault="00D93202" w:rsidP="00D93202">
      <w:pPr>
        <w:spacing w:line="240" w:lineRule="auto"/>
        <w:rPr>
          <w:rFonts w:ascii="Segoe UI" w:eastAsia="Times New Roman" w:hAnsi="Segoe UI" w:cs="Segoe UI"/>
          <w:szCs w:val="24"/>
          <w:lang w:eastAsia="es-CO"/>
        </w:rPr>
      </w:pPr>
    </w:p>
    <w:p w:rsidR="00D93202" w:rsidRPr="00D93202" w:rsidRDefault="00D93202" w:rsidP="00D93202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color w:val="0000FF"/>
          <w:sz w:val="28"/>
          <w:lang w:eastAsia="es-CO"/>
        </w:rPr>
        <w:t>OFICIO N° 019996</w:t>
      </w:r>
    </w:p>
    <w:p w:rsidR="00D93202" w:rsidRPr="00D93202" w:rsidRDefault="00D93202" w:rsidP="00D93202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color w:val="0000FF"/>
          <w:sz w:val="28"/>
          <w:lang w:eastAsia="es-CO"/>
        </w:rPr>
        <w:t>26-03-2014</w:t>
      </w:r>
    </w:p>
    <w:p w:rsidR="00D93202" w:rsidRPr="00D93202" w:rsidRDefault="00D93202" w:rsidP="00D93202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color w:val="0000FF"/>
          <w:sz w:val="28"/>
          <w:lang w:eastAsia="es-CO"/>
        </w:rPr>
        <w:t>DIAN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color w:val="0000FF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color w:val="0000FF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Dirección de Gestión Jurídica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Bogotá D.C.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100202208-337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Doctor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szCs w:val="24"/>
          <w:lang w:eastAsia="es-CO"/>
        </w:rPr>
        <w:t>LEÓNIDAS NARVÁEZ MORALES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Director General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Instituto Nacional de Vías – INVIAS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Carrera 59 No. 26-60 CAN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Bogotá D.C.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szCs w:val="24"/>
          <w:lang w:eastAsia="es-CO"/>
        </w:rPr>
        <w:t xml:space="preserve">Ref.: </w:t>
      </w:r>
      <w:r w:rsidRPr="00D93202">
        <w:rPr>
          <w:rFonts w:ascii="Segoe UI" w:eastAsia="Times New Roman" w:hAnsi="Segoe UI" w:cs="Segoe UI"/>
          <w:szCs w:val="24"/>
          <w:lang w:eastAsia="es-CO"/>
        </w:rPr>
        <w:t>Radicado No. 7859 del 27 de diciembre de 2013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Atento saludo Dr. Leónidas.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De conformidad con el artículo 19 del Decreto 4048 de 2008 y la Orden Administrativa No. 000006 de 2009, es función de esta Dirección absolver las consultas escritas que se formulen sobre la interpretación y aplicación de las normas tributarias de carácter nacional, aduaneras y cambiarias en lo de competencia de la Entidad.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Mediante el radicado de la referencia solicita de este Despacho pronunciamiento jurídico sobre la liquidación del impuesto sobre las ventas en contratos de obra que incluyen actividades de mantenimiento, mejoramiento y remoción de escombros.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 xml:space="preserve">Agrega que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“una vez analizado este tema por funcionarios de las Áreas Técnicas, Financiera y de la Oficina Asesora Jurídica del </w:t>
      </w:r>
      <w:proofErr w:type="spellStart"/>
      <w:r w:rsidRPr="00D93202">
        <w:rPr>
          <w:rFonts w:ascii="Segoe UI" w:eastAsia="Times New Roman" w:hAnsi="Segoe UI" w:cs="Segoe UI"/>
          <w:i/>
          <w:szCs w:val="24"/>
          <w:lang w:eastAsia="es-CO"/>
        </w:rPr>
        <w:t>Invias</w:t>
      </w:r>
      <w:proofErr w:type="spellEnd"/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, se llegó a la conclusión que las actividades desarrolladas en los mencionados contratos, corresponden a la definición de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construcción de bien inmueble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y por lo mismo, la liquidación del IVA debe sujetarse a la tarifa para esta modalidad de contratos de obra pública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(16% sobre la utilidad)” </w:t>
      </w:r>
      <w:r w:rsidRPr="00D93202">
        <w:rPr>
          <w:rFonts w:ascii="Segoe UI" w:eastAsia="Times New Roman" w:hAnsi="Segoe UI" w:cs="Segoe UI"/>
          <w:szCs w:val="24"/>
          <w:lang w:eastAsia="es-CO"/>
        </w:rPr>
        <w:t>(negrilla fuera de texto).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 xml:space="preserve">Expresa asimismo que, conforme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“el alcance de los contratos de obra celebrados por el INVIAS, se concluye que estos se enmarcan dentro de las llamadas obras de construcción correspondientes a mejoramiento y mantenimiento de carreteras, las cuales implican </w:t>
      </w:r>
      <w:r w:rsidRPr="00D93202">
        <w:rPr>
          <w:rFonts w:ascii="Segoe UI" w:eastAsia="Times New Roman" w:hAnsi="Segoe UI" w:cs="Segoe UI"/>
          <w:b/>
          <w:i/>
          <w:szCs w:val="24"/>
          <w:u w:val="single"/>
          <w:lang w:eastAsia="es-CO"/>
        </w:rPr>
        <w:t>construcción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o realización de una serie de obras adheridas al terreno que no son removibles o fácilmente removibles”. </w:t>
      </w:r>
      <w:r w:rsidRPr="00D93202">
        <w:rPr>
          <w:rFonts w:ascii="Segoe UI" w:eastAsia="Times New Roman" w:hAnsi="Segoe UI" w:cs="Segoe UI"/>
          <w:szCs w:val="24"/>
          <w:lang w:eastAsia="es-CO"/>
        </w:rPr>
        <w:t xml:space="preserve">En cuanto a las actividades que corresponden a remoción de derrumbes y el transporte del material proveniente de derrumbes, indica que también implican labores de construcción como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“la colocación, conformación y compactación del terreno, entre otras </w:t>
      </w:r>
      <w:r w:rsidRPr="00D93202">
        <w:rPr>
          <w:rFonts w:ascii="Segoe UI" w:eastAsia="Times New Roman" w:hAnsi="Segoe UI" w:cs="Segoe UI"/>
          <w:b/>
          <w:i/>
          <w:szCs w:val="24"/>
          <w:u w:val="single"/>
          <w:lang w:eastAsia="es-CO"/>
        </w:rPr>
        <w:lastRenderedPageBreak/>
        <w:t>actividades constructivas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,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>sin lo cual no podría considerarse ejecutadas las obras para su recibo final”.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 xml:space="preserve">Por último, considera que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>“existe una confección de obra material sobre el bien, puesto que las actividades implican la intervención, reforma, y reparación que de forma conjunta y complementaria son necesarias para obtener la finalidad principal: la construcción y reconstrucción de obras” (sic).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Sobre el particular, el artículo 32 de la Ley 80 de 1993 define el contrato de obra en los siguientes términos: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“Son contratos de obra los que celebren las entidades estatales para la construcción, mantenimiento, instalación y,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en general, para la realización de cualquier otro trabajo material sobre bienes inmuebles,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cualquiera que sea la modalidad de ejecución y pago.” </w:t>
      </w:r>
      <w:r w:rsidRPr="00D93202">
        <w:rPr>
          <w:rFonts w:ascii="Segoe UI" w:eastAsia="Times New Roman" w:hAnsi="Segoe UI" w:cs="Segoe UI"/>
          <w:szCs w:val="24"/>
          <w:lang w:eastAsia="es-CO"/>
        </w:rPr>
        <w:t>(</w:t>
      </w:r>
      <w:proofErr w:type="gramStart"/>
      <w:r w:rsidRPr="00D93202">
        <w:rPr>
          <w:rFonts w:ascii="Segoe UI" w:eastAsia="Times New Roman" w:hAnsi="Segoe UI" w:cs="Segoe UI"/>
          <w:szCs w:val="24"/>
          <w:lang w:eastAsia="es-CO"/>
        </w:rPr>
        <w:t>negrilla</w:t>
      </w:r>
      <w:proofErr w:type="gramEnd"/>
      <w:r w:rsidRPr="00D93202">
        <w:rPr>
          <w:rFonts w:ascii="Segoe UI" w:eastAsia="Times New Roman" w:hAnsi="Segoe UI" w:cs="Segoe UI"/>
          <w:szCs w:val="24"/>
          <w:lang w:eastAsia="es-CO"/>
        </w:rPr>
        <w:t xml:space="preserve"> fuera de texto).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Así las cosas, resulta procedente observar lo manifestado por la Administración Tributaria en el Concepto No. 00001 del 19 de junio de 2003: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“Son contratos de construcción y urbanización, y en general de confección de obra material de bien inmueble aquellos por los cuales el contratista directa o indirectamente, edifica, fabrica, erige o levanta las obras, edificios, construcciones para residencias o negocios, puentes,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carreteras,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represas, acueductos y edificaciones en general y las obras inherentes a la construcción en sí, tales como: Electricidad, plomería, cañería, mampostería, drenajes y todos los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elementos que se incorporen a la construcción.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>No constituyen contratos de construcción las obras o bienes que pueden retirarse fácilmente sin detrimento del inmueble como divisiones internas en edificios ya terminados.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t>(…)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De conformidad con lo preceptuado en el artículo 3 del Decreto 1372 de 1992, en los contratos de construcción de bien inmueble,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el impuesto sobre las ventas se genera sobre la parte de los ingresos correspondientes a los honorarios obtenidos por el constructor.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>Cuando no se pacten honorarios el impuesto se causará sobre la remuneración del servicio que corresponda a la utilidad del constructor. Para estos efectos, en el respectivo contrato se señalará la parte correspondiente a los honorarios o utilidad, la cual en ningún caso podrá ser inferior a la que comercialmente corresponda a contratos iguales o similares.” (</w:t>
      </w:r>
      <w:proofErr w:type="gramStart"/>
      <w:r w:rsidRPr="00D93202">
        <w:rPr>
          <w:rFonts w:ascii="Segoe UI" w:eastAsia="Times New Roman" w:hAnsi="Segoe UI" w:cs="Segoe UI"/>
          <w:i/>
          <w:szCs w:val="24"/>
          <w:lang w:eastAsia="es-CO"/>
        </w:rPr>
        <w:t>sic</w:t>
      </w:r>
      <w:proofErr w:type="gramEnd"/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) </w:t>
      </w:r>
      <w:r w:rsidRPr="00D93202">
        <w:rPr>
          <w:rFonts w:ascii="Segoe UI" w:eastAsia="Times New Roman" w:hAnsi="Segoe UI" w:cs="Segoe UI"/>
          <w:szCs w:val="24"/>
          <w:lang w:eastAsia="es-CO"/>
        </w:rPr>
        <w:t>(</w:t>
      </w:r>
      <w:proofErr w:type="gramStart"/>
      <w:r w:rsidRPr="00D93202">
        <w:rPr>
          <w:rFonts w:ascii="Segoe UI" w:eastAsia="Times New Roman" w:hAnsi="Segoe UI" w:cs="Segoe UI"/>
          <w:szCs w:val="24"/>
          <w:lang w:eastAsia="es-CO"/>
        </w:rPr>
        <w:t>negrilla</w:t>
      </w:r>
      <w:proofErr w:type="gramEnd"/>
      <w:r w:rsidRPr="00D93202">
        <w:rPr>
          <w:rFonts w:ascii="Segoe UI" w:eastAsia="Times New Roman" w:hAnsi="Segoe UI" w:cs="Segoe UI"/>
          <w:szCs w:val="24"/>
          <w:lang w:eastAsia="es-CO"/>
        </w:rPr>
        <w:t xml:space="preserve"> fuera de texto).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Por su parte, en el Oficio No. 044743 del 22 de julio de 2013 se declaró: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“(…) el artículo 3 del decreto 1372 de 1992,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aplica solo respecto de los contratos de construcción de inmueble y en general a las obras inherentes a la construcción en sí,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tales como: estructura, mampostería, </w:t>
      </w:r>
      <w:proofErr w:type="spellStart"/>
      <w:r w:rsidRPr="00D93202">
        <w:rPr>
          <w:rFonts w:ascii="Segoe UI" w:eastAsia="Times New Roman" w:hAnsi="Segoe UI" w:cs="Segoe UI"/>
          <w:i/>
          <w:szCs w:val="24"/>
          <w:lang w:eastAsia="es-CO"/>
        </w:rPr>
        <w:t>etc</w:t>
      </w:r>
      <w:proofErr w:type="spellEnd"/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, mas no respecto de los contratos de obras o bienes que pueden retirarse fácilmente sin detrimento del inmueble.” </w:t>
      </w:r>
      <w:r w:rsidRPr="00D93202">
        <w:rPr>
          <w:rFonts w:ascii="Segoe UI" w:eastAsia="Times New Roman" w:hAnsi="Segoe UI" w:cs="Segoe UI"/>
          <w:szCs w:val="24"/>
          <w:lang w:eastAsia="es-CO"/>
        </w:rPr>
        <w:t>(</w:t>
      </w:r>
      <w:proofErr w:type="gramStart"/>
      <w:r w:rsidRPr="00D93202">
        <w:rPr>
          <w:rFonts w:ascii="Segoe UI" w:eastAsia="Times New Roman" w:hAnsi="Segoe UI" w:cs="Segoe UI"/>
          <w:szCs w:val="24"/>
          <w:lang w:eastAsia="es-CO"/>
        </w:rPr>
        <w:t>negrilla</w:t>
      </w:r>
      <w:proofErr w:type="gramEnd"/>
      <w:r w:rsidRPr="00D93202">
        <w:rPr>
          <w:rFonts w:ascii="Segoe UI" w:eastAsia="Times New Roman" w:hAnsi="Segoe UI" w:cs="Segoe UI"/>
          <w:szCs w:val="24"/>
          <w:lang w:eastAsia="es-CO"/>
        </w:rPr>
        <w:t xml:space="preserve"> fuera de texto).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Finalmente, acorde al Oficio No. 008077 del 27 de enero de 2006 se advirtió: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i/>
          <w:szCs w:val="24"/>
          <w:lang w:eastAsia="es-CO"/>
        </w:rPr>
        <w:lastRenderedPageBreak/>
        <w:t xml:space="preserve">“(…) el IVA causado por los bienes incorporados en la construcción de inmueble, ya sea que constituyan costo o gasto necesarios para la construcción de esta clase de bienes (inmuebles) </w:t>
      </w:r>
      <w:r w:rsidRPr="00D93202">
        <w:rPr>
          <w:rFonts w:ascii="Segoe UI" w:eastAsia="Times New Roman" w:hAnsi="Segoe UI" w:cs="Segoe UI"/>
          <w:b/>
          <w:i/>
          <w:szCs w:val="24"/>
          <w:lang w:eastAsia="es-CO"/>
        </w:rPr>
        <w:t xml:space="preserve">en ningún caso es descontable, </w:t>
      </w:r>
      <w:r w:rsidRPr="00D93202">
        <w:rPr>
          <w:rFonts w:ascii="Segoe UI" w:eastAsia="Times New Roman" w:hAnsi="Segoe UI" w:cs="Segoe UI"/>
          <w:i/>
          <w:szCs w:val="24"/>
          <w:lang w:eastAsia="es-CO"/>
        </w:rPr>
        <w:t xml:space="preserve">como en efecto dispone el inciso segundo del artículo 3o del Decreto 1372 de 1992.” </w:t>
      </w:r>
      <w:r w:rsidRPr="00D93202">
        <w:rPr>
          <w:rFonts w:ascii="Segoe UI" w:eastAsia="Times New Roman" w:hAnsi="Segoe UI" w:cs="Segoe UI"/>
          <w:szCs w:val="24"/>
          <w:lang w:eastAsia="es-CO"/>
        </w:rPr>
        <w:t>(</w:t>
      </w:r>
      <w:proofErr w:type="gramStart"/>
      <w:r w:rsidRPr="00D93202">
        <w:rPr>
          <w:rFonts w:ascii="Segoe UI" w:eastAsia="Times New Roman" w:hAnsi="Segoe UI" w:cs="Segoe UI"/>
          <w:szCs w:val="24"/>
          <w:lang w:eastAsia="es-CO"/>
        </w:rPr>
        <w:t>negrilla</w:t>
      </w:r>
      <w:proofErr w:type="gramEnd"/>
      <w:r w:rsidRPr="00D93202">
        <w:rPr>
          <w:rFonts w:ascii="Segoe UI" w:eastAsia="Times New Roman" w:hAnsi="Segoe UI" w:cs="Segoe UI"/>
          <w:szCs w:val="24"/>
          <w:lang w:eastAsia="es-CO"/>
        </w:rPr>
        <w:t xml:space="preserve"> fuera de texto).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361B98" w:rsidRDefault="00361B98" w:rsidP="00D93202">
      <w:pPr>
        <w:spacing w:line="240" w:lineRule="auto"/>
        <w:rPr>
          <w:rFonts w:ascii="Segoe UI" w:eastAsia="Times New Roman" w:hAnsi="Segoe UI" w:cs="Segoe UI"/>
          <w:szCs w:val="24"/>
          <w:lang w:eastAsia="es-CO"/>
        </w:rPr>
      </w:pP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bookmarkStart w:id="0" w:name="_GoBack"/>
      <w:bookmarkEnd w:id="0"/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Atentamente,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 </w:t>
      </w:r>
    </w:p>
    <w:p w:rsidR="00D93202" w:rsidRDefault="00D93202" w:rsidP="00D93202">
      <w:pPr>
        <w:spacing w:line="240" w:lineRule="auto"/>
        <w:rPr>
          <w:rFonts w:ascii="Segoe UI" w:eastAsia="Times New Roman" w:hAnsi="Segoe UI" w:cs="Segoe UI"/>
          <w:b/>
          <w:szCs w:val="24"/>
          <w:lang w:eastAsia="es-CO"/>
        </w:rPr>
      </w:pPr>
    </w:p>
    <w:p w:rsidR="00D93202" w:rsidRDefault="00D93202" w:rsidP="00D93202">
      <w:pPr>
        <w:spacing w:line="240" w:lineRule="auto"/>
        <w:rPr>
          <w:rFonts w:ascii="Segoe UI" w:eastAsia="Times New Roman" w:hAnsi="Segoe UI" w:cs="Segoe UI"/>
          <w:b/>
          <w:szCs w:val="24"/>
          <w:lang w:eastAsia="es-CO"/>
        </w:rPr>
      </w:pPr>
    </w:p>
    <w:p w:rsidR="00D93202" w:rsidRDefault="00D93202" w:rsidP="00D93202">
      <w:pPr>
        <w:spacing w:line="240" w:lineRule="auto"/>
        <w:rPr>
          <w:rFonts w:ascii="Segoe UI" w:eastAsia="Times New Roman" w:hAnsi="Segoe UI" w:cs="Segoe UI"/>
          <w:b/>
          <w:szCs w:val="24"/>
          <w:lang w:eastAsia="es-CO"/>
        </w:rPr>
      </w:pP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b/>
          <w:szCs w:val="24"/>
          <w:lang w:eastAsia="es-CO"/>
        </w:rPr>
        <w:t>DALILA ASTRID HERNÁNDEZ CORZO</w:t>
      </w:r>
    </w:p>
    <w:p w:rsidR="00D93202" w:rsidRPr="00D93202" w:rsidRDefault="00D93202" w:rsidP="00D93202">
      <w:pPr>
        <w:spacing w:line="240" w:lineRule="auto"/>
        <w:rPr>
          <w:rFonts w:eastAsia="Times New Roman"/>
          <w:szCs w:val="24"/>
          <w:lang w:eastAsia="es-CO"/>
        </w:rPr>
      </w:pPr>
      <w:r w:rsidRPr="00D93202">
        <w:rPr>
          <w:rFonts w:ascii="Segoe UI" w:eastAsia="Times New Roman" w:hAnsi="Segoe UI" w:cs="Segoe UI"/>
          <w:szCs w:val="24"/>
          <w:lang w:eastAsia="es-CO"/>
        </w:rPr>
        <w:t>Directora de Gestión Jurídica</w:t>
      </w:r>
    </w:p>
    <w:p w:rsidR="00B51D80" w:rsidRDefault="00B51D80"/>
    <w:sectPr w:rsidR="00B51D80" w:rsidSect="00A067C7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02"/>
    <w:rsid w:val="00361B98"/>
    <w:rsid w:val="00A067C7"/>
    <w:rsid w:val="00B51D80"/>
    <w:rsid w:val="00D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cp:lastModifiedBy>CENTRO NACIONAL DE ESTUDIOS TRIBUTARIOS DE COLOMBIA </cp:lastModifiedBy>
  <cp:revision>1</cp:revision>
  <dcterms:created xsi:type="dcterms:W3CDTF">2014-05-10T17:53:00Z</dcterms:created>
  <dcterms:modified xsi:type="dcterms:W3CDTF">2014-05-10T19:16:00Z</dcterms:modified>
</cp:coreProperties>
</file>