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A0" w:rsidRPr="002D36A0" w:rsidRDefault="002D36A0" w:rsidP="002D36A0">
      <w:pPr>
        <w:spacing w:line="240" w:lineRule="auto"/>
        <w:jc w:val="center"/>
        <w:rPr>
          <w:rFonts w:eastAsia="Times New Roman"/>
          <w:szCs w:val="24"/>
          <w:lang w:eastAsia="es-CO"/>
        </w:rPr>
      </w:pPr>
      <w:r w:rsidRPr="002D36A0">
        <w:rPr>
          <w:rFonts w:ascii="Segoe UI" w:eastAsia="Times New Roman" w:hAnsi="Segoe UI" w:cs="Segoe UI"/>
          <w:b/>
          <w:color w:val="0000FF"/>
          <w:sz w:val="28"/>
          <w:lang w:eastAsia="es-CO"/>
        </w:rPr>
        <w:t>OFICIO N° 002483</w:t>
      </w:r>
    </w:p>
    <w:p w:rsidR="002D36A0" w:rsidRPr="002D36A0" w:rsidRDefault="002D36A0" w:rsidP="002D36A0">
      <w:pPr>
        <w:spacing w:line="240" w:lineRule="auto"/>
        <w:jc w:val="center"/>
        <w:rPr>
          <w:rFonts w:eastAsia="Times New Roman"/>
          <w:szCs w:val="24"/>
          <w:lang w:eastAsia="es-CO"/>
        </w:rPr>
      </w:pPr>
      <w:r w:rsidRPr="002D36A0">
        <w:rPr>
          <w:rFonts w:ascii="Segoe UI" w:eastAsia="Times New Roman" w:hAnsi="Segoe UI" w:cs="Segoe UI"/>
          <w:b/>
          <w:color w:val="0000FF"/>
          <w:sz w:val="28"/>
          <w:lang w:eastAsia="es-CO"/>
        </w:rPr>
        <w:t>20-01-2014</w:t>
      </w:r>
    </w:p>
    <w:p w:rsidR="002D36A0" w:rsidRPr="002D36A0" w:rsidRDefault="002D36A0" w:rsidP="002D36A0">
      <w:pPr>
        <w:spacing w:line="240" w:lineRule="auto"/>
        <w:jc w:val="center"/>
        <w:rPr>
          <w:rFonts w:eastAsia="Times New Roman"/>
          <w:szCs w:val="24"/>
          <w:lang w:eastAsia="es-CO"/>
        </w:rPr>
      </w:pPr>
      <w:r w:rsidRPr="002D36A0">
        <w:rPr>
          <w:rFonts w:ascii="Segoe UI" w:eastAsia="Times New Roman" w:hAnsi="Segoe UI" w:cs="Segoe UI"/>
          <w:b/>
          <w:color w:val="0000FF"/>
          <w:sz w:val="28"/>
          <w:lang w:eastAsia="es-CO"/>
        </w:rPr>
        <w:t>DIAN</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color w:val="0000FF"/>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color w:val="0000FF"/>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Subdirección de Gestión Normativa y Doctrina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Bogotá, D.C.</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100208221- 000024</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Señora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szCs w:val="24"/>
          <w:lang w:eastAsia="es-CO"/>
        </w:rPr>
        <w:t>MARIBEL AVELLA CAÑÓN</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Representante Legal</w:t>
      </w:r>
    </w:p>
    <w:p w:rsidR="002D36A0" w:rsidRPr="002D36A0" w:rsidRDefault="002D36A0" w:rsidP="002D36A0">
      <w:pPr>
        <w:spacing w:line="240" w:lineRule="auto"/>
        <w:rPr>
          <w:rFonts w:eastAsia="Times New Roman"/>
          <w:szCs w:val="24"/>
          <w:lang w:eastAsia="es-CO"/>
        </w:rPr>
      </w:pPr>
      <w:proofErr w:type="spellStart"/>
      <w:r w:rsidRPr="002D36A0">
        <w:rPr>
          <w:rFonts w:ascii="Segoe UI" w:eastAsia="Times New Roman" w:hAnsi="Segoe UI" w:cs="Segoe UI"/>
          <w:szCs w:val="24"/>
          <w:lang w:eastAsia="es-CO"/>
        </w:rPr>
        <w:t>Abc</w:t>
      </w:r>
      <w:proofErr w:type="spellEnd"/>
      <w:r w:rsidRPr="002D36A0">
        <w:rPr>
          <w:rFonts w:ascii="Segoe UI" w:eastAsia="Times New Roman" w:hAnsi="Segoe UI" w:cs="Segoe UI"/>
          <w:szCs w:val="24"/>
          <w:lang w:eastAsia="es-CO"/>
        </w:rPr>
        <w:t xml:space="preserve"> </w:t>
      </w:r>
      <w:proofErr w:type="spellStart"/>
      <w:r w:rsidRPr="002D36A0">
        <w:rPr>
          <w:rFonts w:ascii="Segoe UI" w:eastAsia="Times New Roman" w:hAnsi="Segoe UI" w:cs="Segoe UI"/>
          <w:szCs w:val="24"/>
          <w:lang w:eastAsia="es-CO"/>
        </w:rPr>
        <w:t>Rent</w:t>
      </w:r>
      <w:proofErr w:type="spellEnd"/>
      <w:r w:rsidRPr="002D36A0">
        <w:rPr>
          <w:rFonts w:ascii="Segoe UI" w:eastAsia="Times New Roman" w:hAnsi="Segoe UI" w:cs="Segoe UI"/>
          <w:szCs w:val="24"/>
          <w:lang w:eastAsia="es-CO"/>
        </w:rPr>
        <w:t xml:space="preserve"> a Car Ltda.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Calle 93 No. 49- 26 La Castellana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Bogotá</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proofErr w:type="spellStart"/>
      <w:r w:rsidRPr="002D36A0">
        <w:rPr>
          <w:rFonts w:ascii="Segoe UI" w:eastAsia="Times New Roman" w:hAnsi="Segoe UI" w:cs="Segoe UI"/>
          <w:b/>
          <w:szCs w:val="24"/>
          <w:lang w:eastAsia="es-CO"/>
        </w:rPr>
        <w:t>Ref</w:t>
      </w:r>
      <w:proofErr w:type="spellEnd"/>
      <w:r w:rsidRPr="002D36A0">
        <w:rPr>
          <w:rFonts w:ascii="Segoe UI" w:eastAsia="Times New Roman" w:hAnsi="Segoe UI" w:cs="Segoe UI"/>
          <w:b/>
          <w:szCs w:val="24"/>
          <w:lang w:eastAsia="es-CO"/>
        </w:rPr>
        <w:t xml:space="preserve">: </w:t>
      </w:r>
      <w:r w:rsidRPr="002D36A0">
        <w:rPr>
          <w:rFonts w:ascii="Segoe UI" w:eastAsia="Times New Roman" w:hAnsi="Segoe UI" w:cs="Segoe UI"/>
          <w:szCs w:val="24"/>
          <w:lang w:eastAsia="es-CO"/>
        </w:rPr>
        <w:t>Radicado 100012929 del 11/12/2013</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szCs w:val="24"/>
          <w:lang w:eastAsia="es-CO"/>
        </w:rPr>
        <w:t xml:space="preserve">Tema </w:t>
      </w:r>
      <w:r w:rsidRPr="002D36A0">
        <w:rPr>
          <w:rFonts w:ascii="Segoe UI" w:eastAsia="Times New Roman" w:hAnsi="Segoe UI" w:cs="Segoe UI"/>
          <w:szCs w:val="24"/>
          <w:lang w:eastAsia="es-CO"/>
        </w:rPr>
        <w:t>Impuesto a las ventas</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szCs w:val="24"/>
          <w:lang w:eastAsia="es-CO"/>
        </w:rPr>
        <w:t xml:space="preserve">Descriptores </w:t>
      </w:r>
      <w:r w:rsidRPr="002D36A0">
        <w:rPr>
          <w:rFonts w:ascii="Segoe UI" w:eastAsia="Times New Roman" w:hAnsi="Segoe UI" w:cs="Segoe UI"/>
          <w:szCs w:val="24"/>
          <w:lang w:eastAsia="es-CO"/>
        </w:rPr>
        <w:t>Servicios Exentos – Requisitos</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szCs w:val="24"/>
          <w:lang w:eastAsia="es-CO"/>
        </w:rPr>
        <w:t xml:space="preserve">Fuentes formales </w:t>
      </w:r>
      <w:r w:rsidRPr="002D36A0">
        <w:rPr>
          <w:rFonts w:ascii="Segoe UI" w:eastAsia="Times New Roman" w:hAnsi="Segoe UI" w:cs="Segoe UI"/>
          <w:szCs w:val="24"/>
          <w:lang w:eastAsia="es-CO"/>
        </w:rPr>
        <w:t xml:space="preserve">Estatuto tributario </w:t>
      </w:r>
      <w:hyperlink r:id="rId5"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literal d); Ley 1607 de 2013 (sic) artículo 55</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De conformidad con el artículo 20 del Decreto número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xml:space="preserve">Mediante el radicado de la referencia solicita, como representante legal de la sociedad ABC RENT A CAR LTDA prestador de servicios turísticos bajo la modalidad de arrendadora de vehículos para turismo nacional e internacional e inscrito en el Registro Nacional de Turismo, se aplique la exención del impuesto sobre las ventas prevista en el inciso primero del literal d) del </w:t>
      </w:r>
      <w:hyperlink r:id="rId6"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del Estatuto Tributario y en consecuencia se expida el correspondiente acto administrativo donde a partir de la fecha de su expedición se aplique este tratamiento exceptivo.</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xml:space="preserve">Lo anterior bajo el argumento que la empresa cumple con los requisitos establecidos por el artículo 16 de la ley 1101 de 2006, modificado por el artículo 18 de la Ley 1558 de 2012, para hacerse acreedora a los beneficios tributarios establecidos en la ley y cumple con los supuestos fácticos establecidos por el primer inciso del literal d) del </w:t>
      </w:r>
      <w:hyperlink r:id="rId7"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del Estatuto Tributario.</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xml:space="preserve">En ese sentido solicita se aplique la excepción de inconstitucionalidad a la exigencia de que solamente las agencias operadoras u hoteles sean beneficiarios de la exención en IVA contenida en el inciso primero del literal d) del </w:t>
      </w:r>
      <w:hyperlink r:id="rId8"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sino que las empresas arrendadoras de vehículos para turismo nacional e </w:t>
      </w:r>
      <w:r w:rsidRPr="002D36A0">
        <w:rPr>
          <w:rFonts w:ascii="Segoe UI" w:eastAsia="Times New Roman" w:hAnsi="Segoe UI" w:cs="Segoe UI"/>
          <w:szCs w:val="24"/>
          <w:lang w:eastAsia="es-CO"/>
        </w:rPr>
        <w:lastRenderedPageBreak/>
        <w:t>internacional tienen la misma condición de prestadores de servicios turísticos, por lo que el tratamiento selectivo dado en la ley desborda los límites constitucionales en cuanto se desconoce el derecho de igualdad y por lo tanto el principio de equidad tributaria, concretamente por violar el mandato de trato igual frente a supuestos de hecho equivalentes.</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Sobre el particular se considera: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En primer lugar es preciso señalar que en materia tributaria las exoneraciones o exclusiones son de interpretación restrictiva y se concretan a las expresamente señaladas por la ley, lo cual excluye que sean aplicadas por analogía.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Tratándose del impuesto sobre las ventas, por regla general la prestación de servicios en el territorio nacional está gravada y únicamente se hallan exceptuados aquellos servicios expresamente señalados como excluidos o exentos; por consiguiente, los prestadores de aquellos servicios que no se encuentren excluidos o exentos serán responsables del impuesto y deberán cumplir con las obligaciones derivadas de esa calidad.</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En ese sentido constituyen servicios exentos aquellas actividades previstas en la ley que generan el impuesto sobre las ventas a la tarifa cero (0%) y gozan de tratamiento preferencial en cuanto otorgan derecho a la devolución de los impuestos pagados en la adquisición de bienes o servicios necesarios para cumplir la actividad contratada.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Es preciso indicar que en este caso las exenciones operan por el ministerio de la ley, lo cual implica que el tratamiento exceptivo no está sujeto a la expedición de un acto administrativo por parte de una autoridad, sino de la verificación del cumplimiento de los requisitos señalados en la norma.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Por lo anterior no es posible dar cumplimiento a lo solicitado por la consultante, adicionalmente se debe tener en cuenta que ni la Dirección de Impuestos y Aduanas Nacionales ni este Despacho son competentes, para emitir actos administrativo otorgado este tipo de tratamiento exceptivo según lo señalado en el Decreto número 4048 de 2008.</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xml:space="preserve">En consecuencia, con la finalidad de establecer si el servicio prestado está exento del impuesto sobre las ventas deberán analizarse los requisitos contenidos en el literal d) del </w:t>
      </w:r>
      <w:hyperlink r:id="rId9"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del Estatuto Tributario, norma modificada por el artículo 55 de la Ley 1607 de 2012, que consagra lo siguiente:</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hyperlink r:id="rId10"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Para efectos del Impuesto sobre las ventas, únicamente conservarán la calidad de bienes y servicios exentos con derecho a devolución bimestral:</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xml:space="preserve">d. </w:t>
      </w:r>
      <w:r w:rsidRPr="002D36A0">
        <w:rPr>
          <w:rFonts w:ascii="Segoe UI" w:eastAsia="Times New Roman" w:hAnsi="Segoe UI" w:cs="Segoe UI"/>
          <w:b/>
          <w:szCs w:val="24"/>
          <w:lang w:eastAsia="es-CO"/>
        </w:rPr>
        <w:t xml:space="preserve">Los servicios turísticos prestados a residentes en el exterior que sean utilizados en territorio colombiano, originados en paquetes vendidos por agencias operadores u hoteles </w:t>
      </w:r>
      <w:r w:rsidRPr="002D36A0">
        <w:rPr>
          <w:rFonts w:ascii="Segoe UI" w:eastAsia="Times New Roman" w:hAnsi="Segoe UI" w:cs="Segoe UI"/>
          <w:szCs w:val="24"/>
          <w:lang w:eastAsia="es-CO"/>
        </w:rPr>
        <w:t xml:space="preserve">inscritos en el registro nacional de turismo, </w:t>
      </w:r>
      <w:r w:rsidRPr="002D36A0">
        <w:rPr>
          <w:rFonts w:ascii="Segoe UI" w:eastAsia="Times New Roman" w:hAnsi="Segoe UI" w:cs="Segoe UI"/>
          <w:szCs w:val="24"/>
          <w:lang w:eastAsia="es-CO"/>
        </w:rPr>
        <w:lastRenderedPageBreak/>
        <w:t>según las funciones asignadas, de acuerdo con lo establecido en la Ley 300 de 1996. En el caso de los servicios hoteleros la exención rige independientemente de que el responsable del pago sea el huésped no residente en Colombia o la agencia de viajes.</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xml:space="preserve">De igual forma, </w:t>
      </w:r>
      <w:r w:rsidRPr="002D36A0">
        <w:rPr>
          <w:rFonts w:ascii="Segoe UI" w:eastAsia="Times New Roman" w:hAnsi="Segoe UI" w:cs="Segoe UI"/>
          <w:b/>
          <w:szCs w:val="24"/>
          <w:lang w:eastAsia="es-CO"/>
        </w:rPr>
        <w:t xml:space="preserve">los paquetes turísticos vendidos por hoteles inscritos en el registro nacional de turismo a las agencias operadoras, </w:t>
      </w:r>
      <w:r w:rsidRPr="002D36A0">
        <w:rPr>
          <w:rFonts w:ascii="Segoe UI" w:eastAsia="Times New Roman" w:hAnsi="Segoe UI" w:cs="Segoe UI"/>
          <w:szCs w:val="24"/>
          <w:lang w:eastAsia="es-CO"/>
        </w:rPr>
        <w:t xml:space="preserve">siempre que los </w:t>
      </w:r>
      <w:r w:rsidRPr="002D36A0">
        <w:rPr>
          <w:rFonts w:ascii="Segoe UI" w:eastAsia="Times New Roman" w:hAnsi="Segoe UI" w:cs="Segoe UI"/>
          <w:b/>
          <w:szCs w:val="24"/>
          <w:lang w:eastAsia="es-CO"/>
        </w:rPr>
        <w:t xml:space="preserve">servicios turísticos </w:t>
      </w:r>
      <w:r w:rsidRPr="002D36A0">
        <w:rPr>
          <w:rFonts w:ascii="Segoe UI" w:eastAsia="Times New Roman" w:hAnsi="Segoe UI" w:cs="Segoe UI"/>
          <w:szCs w:val="24"/>
          <w:lang w:eastAsia="es-CO"/>
        </w:rPr>
        <w:t xml:space="preserve">hayan de ser </w:t>
      </w:r>
      <w:r w:rsidRPr="002D36A0">
        <w:rPr>
          <w:rFonts w:ascii="Segoe UI" w:eastAsia="Times New Roman" w:hAnsi="Segoe UI" w:cs="Segoe UI"/>
          <w:b/>
          <w:szCs w:val="24"/>
          <w:lang w:eastAsia="es-CO"/>
        </w:rPr>
        <w:t>utilizados en el territorio nacional por residentes en el exterior.</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(Se resalta)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Esta exención fue materia de reglamentación a través del Decreto 2646 de 2013, en los siguientes términos:</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xml:space="preserve">Artículo 1°. Exención del IVA sobre servicios turísticos prestados a residentes en el exterior que sean utilizados en territorio colombiano.- Conforme con lo previsto en el literal d) del </w:t>
      </w:r>
      <w:hyperlink r:id="rId11"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del Estatuto Tributario, </w:t>
      </w:r>
      <w:r w:rsidRPr="002D36A0">
        <w:rPr>
          <w:rFonts w:ascii="Segoe UI" w:eastAsia="Times New Roman" w:hAnsi="Segoe UI" w:cs="Segoe UI"/>
          <w:b/>
          <w:szCs w:val="24"/>
          <w:lang w:eastAsia="es-CO"/>
        </w:rPr>
        <w:t xml:space="preserve">se consideran servicios exentos del impuesto sobre las ventas con derecho a devolución bimestral los servicios turísticos vendidos bajo la modalidad de planes o paquetes turísticos por las agencias operadoras, así como los servicios hoteleros prestados por los hoteles inscritos en el Registro Nacional de Turismo, siempre y cuando dichos servicios sean prestados a residentes en el exterior y sean utilizados en el país, </w:t>
      </w:r>
      <w:r w:rsidRPr="002D36A0">
        <w:rPr>
          <w:rFonts w:ascii="Segoe UI" w:eastAsia="Times New Roman" w:hAnsi="Segoe UI" w:cs="Segoe UI"/>
          <w:szCs w:val="24"/>
          <w:lang w:eastAsia="es-CO"/>
        </w:rPr>
        <w:t>de acuerdo con las funciones y actividades autorizadas por la Ley 300 de 1996.</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xml:space="preserve">Así mismo se consideran servicios exentos del impuesto sobre las ventas </w:t>
      </w:r>
      <w:r w:rsidRPr="002D36A0">
        <w:rPr>
          <w:rFonts w:ascii="Segoe UI" w:eastAsia="Times New Roman" w:hAnsi="Segoe UI" w:cs="Segoe UI"/>
          <w:b/>
          <w:szCs w:val="24"/>
          <w:lang w:eastAsia="es-CO"/>
        </w:rPr>
        <w:t>los servicios hoteleros vendidos por los hoteles a las agencias operadoras, siempre y cuando el beneficiario de los servicios prestados en el territorio nacional sea un residente en el exterior.</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b/>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Para dicho efecto, los hoteles deberán facturar a las agencias operadoras los servicios hoteleros prestados en el país, discriminando cada uno de ellos y liquidando el IVA a la tarifa de cero (0%), siempre y cuando el beneficiario de los mismos sea un no residente, e independientemente de que individualmente considerados se presten a título gratuito u oneroso.</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Parágrafo 1.- Para efectos de la aplicación de la exención se consideran residentes en el exterior, a los extranjeros y a los nacionales no residentes en el país que ingresan al territorio nacional sin el ánimo de establecerse en Colombia, de conformidad con lo señalado en el Decreto 834 de 2013 o en las disposiciones que lo adicionen, modifiquen o sustituyan.</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El residente en el exterior deberá acreditar tal condición mediante la presentación del pasaporte original, la tarjeta Andina o la tarjeta de Mercosur comprobando su estatus migratorio con el sello vigente de Permiso de Ingreso y Permanencia PIP5, con el sello vigente de Permiso Temporal de Permanencia PTP-5, o la visa vigente TP-11 para aquellos extranjeros que por su nacionalidad requieren de visa estampada en su pasaporte para ingresar a territorio nacional, o aquellos que los modifiquen o sustituyan.</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lastRenderedPageBreak/>
        <w:t> </w:t>
      </w:r>
    </w:p>
    <w:p w:rsidR="002D36A0" w:rsidRPr="002D36A0" w:rsidRDefault="002D36A0" w:rsidP="002D36A0">
      <w:pPr>
        <w:spacing w:line="240" w:lineRule="auto"/>
        <w:ind w:left="284"/>
        <w:rPr>
          <w:rFonts w:eastAsia="Times New Roman"/>
          <w:szCs w:val="24"/>
          <w:lang w:eastAsia="es-CO"/>
        </w:rPr>
      </w:pPr>
      <w:r w:rsidRPr="002D36A0">
        <w:rPr>
          <w:rFonts w:ascii="Segoe UI" w:eastAsia="Times New Roman" w:hAnsi="Segoe UI" w:cs="Segoe UI"/>
          <w:szCs w:val="24"/>
          <w:lang w:eastAsia="es-CO"/>
        </w:rPr>
        <w:t>Parágrafo 2.- Para efectos de control los hoteles deberán llevar un registro de los servicios hoteleros vendidos a residentes en el exterior, bien sea directamente o por intermedio de agencias operadoras, con una relación de la correspondiente facturación y fotocopia del pasaporte con la correspondiente visa TP-11, o sello de PIP-5 o PTP-5 para aquellas nacionalidades que no requieren de visa estampada en el mismo para su ingreso al país en esta calidad, o de la tarjeta Andina o de Mercosur, con el correspondiente sello PIP-5 o PTP-5, o aquellos que los modifiquen o sustituyan, del beneficio del servicio turístico. Así mismo, las agencias operadoras deberán llevar un registro de los servicios turísticos vendidos bajo la modalidad de plan o paquete turístico a los residentes en el exterior, con una relación de la correspondiente facturación.</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Nótese como tanto la ley como el reglamento establecen que lo exento del impuesto sobre las ventas con derecho a devolución bimestral son:</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tabs>
          <w:tab w:val="left" w:pos="567"/>
        </w:tabs>
        <w:spacing w:line="240" w:lineRule="auto"/>
        <w:ind w:left="567" w:hanging="283"/>
        <w:rPr>
          <w:rFonts w:eastAsia="Times New Roman"/>
          <w:szCs w:val="24"/>
          <w:lang w:eastAsia="es-CO"/>
        </w:rPr>
      </w:pPr>
      <w:r w:rsidRPr="002D36A0">
        <w:rPr>
          <w:rFonts w:ascii="Symbol" w:eastAsia="Symbol" w:hAnsi="Symbol" w:cs="Symbol"/>
          <w:szCs w:val="24"/>
          <w:lang w:eastAsia="es-CO"/>
        </w:rPr>
        <w:t></w:t>
      </w:r>
      <w:r w:rsidRPr="002D36A0">
        <w:rPr>
          <w:rFonts w:eastAsia="Symbol"/>
          <w:sz w:val="14"/>
          <w:szCs w:val="14"/>
          <w:lang w:eastAsia="es-CO"/>
        </w:rPr>
        <w:t xml:space="preserve">      </w:t>
      </w:r>
      <w:r w:rsidRPr="002D36A0">
        <w:rPr>
          <w:rFonts w:ascii="Segoe UI" w:eastAsia="Times New Roman" w:hAnsi="Segoe UI" w:cs="Segoe UI"/>
          <w:szCs w:val="24"/>
          <w:lang w:eastAsia="es-CO"/>
        </w:rPr>
        <w:t>Los servicios turísticos prestados a residentes en el exterior que sean utilizados en territorio colombiano, originados en paquetes vendidos por agencias operadores u hoteles.</w:t>
      </w:r>
    </w:p>
    <w:p w:rsidR="002D36A0" w:rsidRPr="002D36A0" w:rsidRDefault="002D36A0" w:rsidP="002D36A0">
      <w:pPr>
        <w:tabs>
          <w:tab w:val="left" w:pos="567"/>
        </w:tabs>
        <w:spacing w:line="240" w:lineRule="auto"/>
        <w:ind w:left="567" w:hanging="283"/>
        <w:rPr>
          <w:rFonts w:eastAsia="Times New Roman"/>
          <w:szCs w:val="24"/>
          <w:lang w:eastAsia="es-CO"/>
        </w:rPr>
      </w:pPr>
      <w:r w:rsidRPr="002D36A0">
        <w:rPr>
          <w:rFonts w:ascii="Symbol" w:eastAsia="Symbol" w:hAnsi="Symbol" w:cs="Symbol"/>
          <w:szCs w:val="24"/>
          <w:lang w:eastAsia="es-CO"/>
        </w:rPr>
        <w:t></w:t>
      </w:r>
      <w:r w:rsidRPr="002D36A0">
        <w:rPr>
          <w:rFonts w:eastAsia="Symbol"/>
          <w:sz w:val="14"/>
          <w:szCs w:val="14"/>
          <w:lang w:eastAsia="es-CO"/>
        </w:rPr>
        <w:t xml:space="preserve">      </w:t>
      </w:r>
      <w:r w:rsidRPr="002D36A0">
        <w:rPr>
          <w:rFonts w:ascii="Segoe UI" w:eastAsia="Times New Roman" w:hAnsi="Segoe UI" w:cs="Segoe UI"/>
          <w:szCs w:val="24"/>
          <w:lang w:eastAsia="es-CO"/>
        </w:rPr>
        <w:t>Los servicios hoteleros prestados por los hoteles inscritos en el Registro Nacional de Turismo, siempre y cuando dichos servicios sean prestados a residentes en el exterior y sean utilizados en el país.</w:t>
      </w:r>
    </w:p>
    <w:p w:rsidR="002D36A0" w:rsidRPr="002D36A0" w:rsidRDefault="002D36A0" w:rsidP="002D36A0">
      <w:pPr>
        <w:tabs>
          <w:tab w:val="left" w:pos="567"/>
        </w:tabs>
        <w:spacing w:line="240" w:lineRule="auto"/>
        <w:ind w:left="567" w:hanging="283"/>
        <w:rPr>
          <w:rFonts w:eastAsia="Times New Roman"/>
          <w:szCs w:val="24"/>
          <w:lang w:eastAsia="es-CO"/>
        </w:rPr>
      </w:pPr>
      <w:r w:rsidRPr="002D36A0">
        <w:rPr>
          <w:rFonts w:ascii="Symbol" w:eastAsia="Symbol" w:hAnsi="Symbol" w:cs="Symbol"/>
          <w:szCs w:val="24"/>
          <w:lang w:eastAsia="es-CO"/>
        </w:rPr>
        <w:t></w:t>
      </w:r>
      <w:r w:rsidRPr="002D36A0">
        <w:rPr>
          <w:rFonts w:eastAsia="Symbol"/>
          <w:sz w:val="14"/>
          <w:szCs w:val="14"/>
          <w:lang w:eastAsia="es-CO"/>
        </w:rPr>
        <w:t xml:space="preserve">      </w:t>
      </w:r>
      <w:r w:rsidRPr="002D36A0">
        <w:rPr>
          <w:rFonts w:ascii="Segoe UI" w:eastAsia="Times New Roman" w:hAnsi="Segoe UI" w:cs="Segoe UI"/>
          <w:szCs w:val="24"/>
          <w:lang w:eastAsia="es-CO"/>
        </w:rPr>
        <w:t>Los servicios hoteleros vendidos por los hoteles a las agencias operadoras, siempre y cuando el beneficiario de los servicios prestados en el territorio nacional sea un residente en el exterior.</w:t>
      </w:r>
    </w:p>
    <w:p w:rsidR="002D36A0" w:rsidRDefault="002D36A0" w:rsidP="002D36A0">
      <w:pPr>
        <w:spacing w:line="240" w:lineRule="auto"/>
        <w:rPr>
          <w:rFonts w:ascii="Segoe UI" w:eastAsia="Times New Roman" w:hAnsi="Segoe UI" w:cs="Segoe UI"/>
          <w:szCs w:val="24"/>
          <w:lang w:eastAsia="es-CO"/>
        </w:rPr>
      </w:pPr>
    </w:p>
    <w:p w:rsidR="002D36A0" w:rsidRDefault="002D36A0" w:rsidP="002D36A0">
      <w:pPr>
        <w:spacing w:line="240" w:lineRule="auto"/>
        <w:rPr>
          <w:rFonts w:ascii="Segoe UI" w:eastAsia="Times New Roman" w:hAnsi="Segoe UI" w:cs="Segoe UI"/>
          <w:szCs w:val="24"/>
          <w:lang w:eastAsia="es-CO"/>
        </w:rPr>
      </w:pPr>
    </w:p>
    <w:p w:rsidR="002D36A0" w:rsidRDefault="002D36A0" w:rsidP="002D36A0">
      <w:pPr>
        <w:spacing w:line="240" w:lineRule="auto"/>
        <w:rPr>
          <w:rFonts w:ascii="Segoe UI" w:eastAsia="Times New Roman" w:hAnsi="Segoe UI" w:cs="Segoe UI"/>
          <w:szCs w:val="24"/>
          <w:lang w:eastAsia="es-CO"/>
        </w:rPr>
      </w:pP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Los supuestos fácticos anteriormente señalados se refieren a las agencias operadores u hoteles y no incluyen a otros prestadores de servicios, como las empresas arrendadoras de vehículos para turismo nacional e internacional.</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En consecuencia, se considera que no puede hacerse extensivo el carácter de exento de IVA a los servicios turísticos prestados por dichas empresas, en virtud del carácter restrictivo que tienen las exoneraciones o exclusiones en materia tributaria.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xml:space="preserve">Por último en relación con la solicitud de aplique la excepción de inconstitucionalidad, tenga en cuenta que el artículo 55 de la Ley 1607 de 2012, a través del cual se modificó el </w:t>
      </w:r>
      <w:hyperlink r:id="rId12" w:tooltip="Estatuto Tributario CETA" w:history="1">
        <w:r w:rsidRPr="002D36A0">
          <w:rPr>
            <w:rFonts w:ascii="Segoe UI" w:eastAsia="Times New Roman" w:hAnsi="Segoe UI" w:cs="Segoe UI"/>
            <w:color w:val="0000FF"/>
            <w:szCs w:val="24"/>
            <w:u w:val="single"/>
            <w:lang w:eastAsia="es-CO"/>
          </w:rPr>
          <w:t>artículo 481</w:t>
        </w:r>
      </w:hyperlink>
      <w:r w:rsidRPr="002D36A0">
        <w:rPr>
          <w:rFonts w:ascii="Segoe UI" w:eastAsia="Times New Roman" w:hAnsi="Segoe UI" w:cs="Segoe UI"/>
          <w:szCs w:val="24"/>
          <w:lang w:eastAsia="es-CO"/>
        </w:rPr>
        <w:t xml:space="preserve"> del Estatuto Tributario, hace parte de una ley aprobada por el Congreso de la República, que por virtud de lo establecido en el artículo 150 de la Constitución Política tiene la facultad de elaborar las leyes. En ese sentido las leyes de la República, aprobadas por el Congreso y sancionadas por el Presidente, gozan de una presunción de constitucionalidad la cual se puede cuestionar a través de la acción pública de inconstitucionalidad, a fin que se declare por parte de la Corte Constitucional su </w:t>
      </w:r>
      <w:proofErr w:type="spellStart"/>
      <w:r w:rsidRPr="002D36A0">
        <w:rPr>
          <w:rFonts w:ascii="Segoe UI" w:eastAsia="Times New Roman" w:hAnsi="Segoe UI" w:cs="Segoe UI"/>
          <w:szCs w:val="24"/>
          <w:lang w:eastAsia="es-CO"/>
        </w:rPr>
        <w:t>inexequibilidad</w:t>
      </w:r>
      <w:proofErr w:type="spellEnd"/>
      <w:r w:rsidRPr="002D36A0">
        <w:rPr>
          <w:rFonts w:ascii="Segoe UI" w:eastAsia="Times New Roman" w:hAnsi="Segoe UI" w:cs="Segoe UI"/>
          <w:szCs w:val="24"/>
          <w:lang w:eastAsia="es-CO"/>
        </w:rPr>
        <w:t xml:space="preserve"> por no estar acorde a la Constitución Política en el evento que le asista razón al demandante.</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lastRenderedPageBreak/>
        <w:t>En concordancia con lo anterior es preciso señalar que los servidores públicos sólo pueden hacer aquello que les está permitido por la Constitución y las leyes respectivas, razón por la cual si la ley se encuentra vigente no se pueden abstener a dar cumplimiento a lo allí establecido. Como en este caso el artículo 55 de la Ley 1607 de 2012 no ha sido declarado inexequible, goza de la mencionada presunción de constitucionalidad y los funcionarios de la Dirección de Impuestos y Aduanas Nacionales se encuentran obligados a su cumplimiento.</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En los anteriores términos se resuelve su solicitud</w:t>
      </w:r>
    </w:p>
    <w:p w:rsidR="002D36A0" w:rsidRDefault="002D36A0" w:rsidP="002D36A0">
      <w:pPr>
        <w:spacing w:line="240" w:lineRule="auto"/>
        <w:rPr>
          <w:rFonts w:ascii="Segoe UI" w:eastAsia="Times New Roman" w:hAnsi="Segoe UI" w:cs="Segoe UI"/>
          <w:szCs w:val="24"/>
          <w:lang w:eastAsia="es-CO"/>
        </w:rPr>
      </w:pPr>
    </w:p>
    <w:p w:rsidR="002D36A0" w:rsidRDefault="002D36A0" w:rsidP="002D36A0">
      <w:pPr>
        <w:spacing w:line="240" w:lineRule="auto"/>
        <w:rPr>
          <w:rFonts w:ascii="Segoe UI" w:eastAsia="Times New Roman" w:hAnsi="Segoe UI" w:cs="Segoe UI"/>
          <w:szCs w:val="24"/>
          <w:lang w:eastAsia="es-CO"/>
        </w:rPr>
      </w:pPr>
    </w:p>
    <w:p w:rsidR="002D36A0" w:rsidRPr="002D36A0" w:rsidRDefault="002D36A0" w:rsidP="002D36A0">
      <w:pPr>
        <w:spacing w:line="240" w:lineRule="auto"/>
        <w:rPr>
          <w:rFonts w:eastAsia="Times New Roman"/>
          <w:szCs w:val="24"/>
          <w:lang w:eastAsia="es-CO"/>
        </w:rPr>
      </w:pPr>
      <w:bookmarkStart w:id="0" w:name="_GoBack"/>
      <w:bookmarkEnd w:id="0"/>
      <w:r w:rsidRPr="002D36A0">
        <w:rPr>
          <w:rFonts w:ascii="Segoe UI" w:eastAsia="Times New Roman" w:hAnsi="Segoe UI" w:cs="Segoe UI"/>
          <w:szCs w:val="24"/>
          <w:lang w:eastAsia="es-CO"/>
        </w:rPr>
        <w:t xml:space="preserve">Finalmente le manifestamos que la Dirección de Impuestos y Aduanas Nacionales, con el fin de facilitar a los contribuyentes, usuarios y público en general el acceso directo a sus pronunciamientos doctrinarios, ha publicado en su página de internet </w:t>
      </w:r>
      <w:hyperlink r:id="rId13" w:history="1">
        <w:r w:rsidRPr="002D36A0">
          <w:rPr>
            <w:rFonts w:ascii="Segoe UI" w:eastAsia="Times New Roman" w:hAnsi="Segoe UI" w:cs="Segoe UI"/>
            <w:color w:val="0000FF"/>
            <w:szCs w:val="24"/>
            <w:u w:val="single"/>
            <w:lang w:eastAsia="es-CO"/>
          </w:rPr>
          <w:t>www.dian.gov.co</w:t>
        </w:r>
      </w:hyperlink>
      <w:r w:rsidRPr="002D36A0">
        <w:rPr>
          <w:rFonts w:ascii="Segoe UI" w:eastAsia="Times New Roman" w:hAnsi="Segoe UI" w:cs="Segoe UI"/>
          <w:szCs w:val="24"/>
          <w:lang w:eastAsia="es-CO"/>
        </w:rPr>
        <w:t xml:space="preserve">, la base de conceptos en materia tributaria, aduanera y cambiaria expedidos desde el año 2001, a la cual se puede ingresar por el ícono de “Normatividad” –“técnica”-, dando </w:t>
      </w:r>
      <w:proofErr w:type="spellStart"/>
      <w:r w:rsidRPr="002D36A0">
        <w:rPr>
          <w:rFonts w:ascii="Segoe UI" w:eastAsia="Times New Roman" w:hAnsi="Segoe UI" w:cs="Segoe UI"/>
          <w:szCs w:val="24"/>
          <w:lang w:eastAsia="es-CO"/>
        </w:rPr>
        <w:t>click</w:t>
      </w:r>
      <w:proofErr w:type="spellEnd"/>
      <w:r w:rsidRPr="002D36A0">
        <w:rPr>
          <w:rFonts w:ascii="Segoe UI" w:eastAsia="Times New Roman" w:hAnsi="Segoe UI" w:cs="Segoe UI"/>
          <w:szCs w:val="24"/>
          <w:lang w:eastAsia="es-CO"/>
        </w:rPr>
        <w:t xml:space="preserve"> en el link “Doctrina Dirección de Gestión Jurídica”.</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Default="002D36A0" w:rsidP="002D36A0">
      <w:pPr>
        <w:spacing w:line="240" w:lineRule="auto"/>
        <w:rPr>
          <w:rFonts w:ascii="Segoe UI" w:eastAsia="Times New Roman" w:hAnsi="Segoe UI" w:cs="Segoe UI"/>
          <w:szCs w:val="24"/>
          <w:lang w:eastAsia="es-CO"/>
        </w:rPr>
      </w:pPr>
    </w:p>
    <w:p w:rsidR="002D36A0" w:rsidRDefault="002D36A0" w:rsidP="002D36A0">
      <w:pPr>
        <w:spacing w:line="240" w:lineRule="auto"/>
        <w:rPr>
          <w:rFonts w:ascii="Segoe UI" w:eastAsia="Times New Roman" w:hAnsi="Segoe UI" w:cs="Segoe UI"/>
          <w:szCs w:val="24"/>
          <w:lang w:eastAsia="es-CO"/>
        </w:rPr>
      </w:pP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Atentamente,</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 </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b/>
          <w:szCs w:val="24"/>
          <w:lang w:eastAsia="es-CO"/>
        </w:rPr>
        <w:t>LEONOR EUGENIA RUIZ DE VILLALOBOS</w:t>
      </w:r>
    </w:p>
    <w:p w:rsidR="002D36A0" w:rsidRPr="002D36A0" w:rsidRDefault="002D36A0" w:rsidP="002D36A0">
      <w:pPr>
        <w:spacing w:line="240" w:lineRule="auto"/>
        <w:rPr>
          <w:rFonts w:eastAsia="Times New Roman"/>
          <w:szCs w:val="24"/>
          <w:lang w:eastAsia="es-CO"/>
        </w:rPr>
      </w:pPr>
      <w:r w:rsidRPr="002D36A0">
        <w:rPr>
          <w:rFonts w:ascii="Segoe UI" w:eastAsia="Times New Roman" w:hAnsi="Segoe UI" w:cs="Segoe UI"/>
          <w:szCs w:val="24"/>
          <w:lang w:eastAsia="es-CO"/>
        </w:rPr>
        <w:t>Subdirectora de Gestión Normativa y Doctrina</w:t>
      </w:r>
    </w:p>
    <w:p w:rsidR="00B51D80" w:rsidRDefault="00B51D80"/>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A0"/>
    <w:rsid w:val="002D36A0"/>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85264">
      <w:bodyDiv w:val="1"/>
      <w:marLeft w:val="0"/>
      <w:marRight w:val="0"/>
      <w:marTop w:val="0"/>
      <w:marBottom w:val="0"/>
      <w:divBdr>
        <w:top w:val="none" w:sz="0" w:space="0" w:color="auto"/>
        <w:left w:val="none" w:sz="0" w:space="0" w:color="auto"/>
        <w:bottom w:val="none" w:sz="0" w:space="0" w:color="auto"/>
        <w:right w:val="none" w:sz="0" w:space="0" w:color="auto"/>
      </w:divBdr>
    </w:div>
    <w:div w:id="1562596165">
      <w:bodyDiv w:val="1"/>
      <w:marLeft w:val="0"/>
      <w:marRight w:val="0"/>
      <w:marTop w:val="0"/>
      <w:marBottom w:val="0"/>
      <w:divBdr>
        <w:top w:val="none" w:sz="0" w:space="0" w:color="auto"/>
        <w:left w:val="none" w:sz="0" w:space="0" w:color="auto"/>
        <w:bottom w:val="none" w:sz="0" w:space="0" w:color="auto"/>
        <w:right w:val="none" w:sz="0" w:space="0" w:color="auto"/>
      </w:divBdr>
    </w:div>
    <w:div w:id="1655139304">
      <w:bodyDiv w:val="1"/>
      <w:marLeft w:val="0"/>
      <w:marRight w:val="0"/>
      <w:marTop w:val="0"/>
      <w:marBottom w:val="0"/>
      <w:divBdr>
        <w:top w:val="none" w:sz="0" w:space="0" w:color="auto"/>
        <w:left w:val="none" w:sz="0" w:space="0" w:color="auto"/>
        <w:bottom w:val="none" w:sz="0" w:space="0" w:color="auto"/>
        <w:right w:val="none" w:sz="0" w:space="0" w:color="auto"/>
      </w:divBdr>
    </w:div>
    <w:div w:id="1656569499">
      <w:bodyDiv w:val="1"/>
      <w:marLeft w:val="0"/>
      <w:marRight w:val="0"/>
      <w:marTop w:val="0"/>
      <w:marBottom w:val="0"/>
      <w:divBdr>
        <w:top w:val="none" w:sz="0" w:space="0" w:color="auto"/>
        <w:left w:val="none" w:sz="0" w:space="0" w:color="auto"/>
        <w:bottom w:val="none" w:sz="0" w:space="0" w:color="auto"/>
        <w:right w:val="none" w:sz="0" w:space="0" w:color="auto"/>
      </w:divBdr>
    </w:div>
    <w:div w:id="1721979939">
      <w:bodyDiv w:val="1"/>
      <w:marLeft w:val="0"/>
      <w:marRight w:val="0"/>
      <w:marTop w:val="0"/>
      <w:marBottom w:val="0"/>
      <w:divBdr>
        <w:top w:val="none" w:sz="0" w:space="0" w:color="auto"/>
        <w:left w:val="none" w:sz="0" w:space="0" w:color="auto"/>
        <w:bottom w:val="none" w:sz="0" w:space="0" w:color="auto"/>
        <w:right w:val="none" w:sz="0" w:space="0" w:color="auto"/>
      </w:divBdr>
    </w:div>
    <w:div w:id="20669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601" TargetMode="External"/><Relationship Id="rId13" Type="http://schemas.openxmlformats.org/officeDocument/2006/relationships/hyperlink" Target="http://www.dian.gov.co" TargetMode="External"/><Relationship Id="rId3" Type="http://schemas.openxmlformats.org/officeDocument/2006/relationships/settings" Target="settings.xml"/><Relationship Id="rId7" Type="http://schemas.openxmlformats.org/officeDocument/2006/relationships/hyperlink" Target="http://www.ceta.org.co/html/vista_de_un_articulo.asp?Norma=601" TargetMode="External"/><Relationship Id="rId12" Type="http://schemas.openxmlformats.org/officeDocument/2006/relationships/hyperlink" Target="http://www.ceta.org.co/html/vista_de_un_articulo.asp?Norma=6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601" TargetMode="External"/><Relationship Id="rId11" Type="http://schemas.openxmlformats.org/officeDocument/2006/relationships/hyperlink" Target="http://www.ceta.org.co/html/vista_de_un_articulo.asp?Norma=601" TargetMode="External"/><Relationship Id="rId5" Type="http://schemas.openxmlformats.org/officeDocument/2006/relationships/hyperlink" Target="http://www.ceta.org.co/html/vista_de_un_articulo.asp?Norma=601" TargetMode="External"/><Relationship Id="rId15" Type="http://schemas.openxmlformats.org/officeDocument/2006/relationships/theme" Target="theme/theme1.xml"/><Relationship Id="rId10" Type="http://schemas.openxmlformats.org/officeDocument/2006/relationships/hyperlink" Target="http://www.ceta.org.co/html/vista_de_un_articulo.asp?Norma=601"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60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1950</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2014-02-19T20:58:00Z</dcterms:created>
  <dcterms:modified xsi:type="dcterms:W3CDTF">2014-02-19T21:04:00Z</dcterms:modified>
</cp:coreProperties>
</file>