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C7" w:rsidRPr="00703EC7" w:rsidRDefault="00703EC7" w:rsidP="00703EC7">
      <w:pPr>
        <w:spacing w:line="240" w:lineRule="auto"/>
        <w:jc w:val="center"/>
        <w:rPr>
          <w:rFonts w:eastAsia="Times New Roman"/>
          <w:szCs w:val="24"/>
          <w:lang w:eastAsia="es-CO"/>
        </w:rPr>
      </w:pPr>
      <w:r w:rsidRPr="00703EC7">
        <w:rPr>
          <w:rFonts w:ascii="Segoe UI" w:eastAsia="Times New Roman" w:hAnsi="Segoe UI" w:cs="Segoe UI"/>
          <w:b/>
          <w:bCs/>
          <w:color w:val="0000FF"/>
          <w:sz w:val="28"/>
          <w:lang w:eastAsia="es-CO"/>
        </w:rPr>
        <w:t>OFICIO N° 001953</w:t>
      </w:r>
    </w:p>
    <w:p w:rsidR="00703EC7" w:rsidRPr="00703EC7" w:rsidRDefault="00703EC7" w:rsidP="00703EC7">
      <w:pPr>
        <w:spacing w:line="240" w:lineRule="auto"/>
        <w:jc w:val="center"/>
        <w:rPr>
          <w:rFonts w:eastAsia="Times New Roman"/>
          <w:szCs w:val="24"/>
          <w:lang w:eastAsia="es-CO"/>
        </w:rPr>
      </w:pPr>
      <w:r w:rsidRPr="00703EC7">
        <w:rPr>
          <w:rFonts w:ascii="Segoe UI" w:eastAsia="Times New Roman" w:hAnsi="Segoe UI" w:cs="Segoe UI"/>
          <w:b/>
          <w:bCs/>
          <w:color w:val="0000FF"/>
          <w:sz w:val="28"/>
          <w:lang w:eastAsia="es-CO"/>
        </w:rPr>
        <w:t>16-01-2014</w:t>
      </w:r>
    </w:p>
    <w:p w:rsidR="00703EC7" w:rsidRPr="00703EC7" w:rsidRDefault="00703EC7" w:rsidP="00703EC7">
      <w:pPr>
        <w:spacing w:line="240" w:lineRule="auto"/>
        <w:jc w:val="center"/>
        <w:rPr>
          <w:rFonts w:eastAsia="Times New Roman"/>
          <w:szCs w:val="24"/>
          <w:lang w:eastAsia="es-CO"/>
        </w:rPr>
      </w:pPr>
      <w:r w:rsidRPr="00703EC7">
        <w:rPr>
          <w:rFonts w:ascii="Segoe UI" w:eastAsia="Times New Roman" w:hAnsi="Segoe UI" w:cs="Segoe UI"/>
          <w:b/>
          <w:bCs/>
          <w:color w:val="0000FF"/>
          <w:sz w:val="28"/>
          <w:lang w:eastAsia="es-CO"/>
        </w:rPr>
        <w:t>DIAN</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b/>
          <w:color w:val="0000FF"/>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b/>
          <w:color w:val="0000FF"/>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Dirección de Gestión Jurídica</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Bogotá, D.C.</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Oficio No. 100202208- 0003</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Doctora</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b/>
          <w:szCs w:val="24"/>
          <w:lang w:eastAsia="es-CO"/>
        </w:rPr>
        <w:t>MARIBEL ACOSTA SARMIENTO</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xml:space="preserve">Abogada </w:t>
      </w:r>
      <w:proofErr w:type="spellStart"/>
      <w:r w:rsidRPr="00703EC7">
        <w:rPr>
          <w:rFonts w:ascii="Segoe UI" w:eastAsia="Times New Roman" w:hAnsi="Segoe UI" w:cs="Segoe UI"/>
          <w:szCs w:val="24"/>
          <w:lang w:eastAsia="es-CO"/>
        </w:rPr>
        <w:t>Git</w:t>
      </w:r>
      <w:proofErr w:type="spellEnd"/>
      <w:r w:rsidRPr="00703EC7">
        <w:rPr>
          <w:rFonts w:ascii="Segoe UI" w:eastAsia="Times New Roman" w:hAnsi="Segoe UI" w:cs="Segoe UI"/>
          <w:szCs w:val="24"/>
          <w:lang w:eastAsia="es-CO"/>
        </w:rPr>
        <w:t xml:space="preserve"> Delitos y Otras Infracciones</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UAE- Agencia del Inspector General de Tributos, Rentas y Contribuciones Parafiscales</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Calle 93B No. 16 – 47 Piso 5</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Bogotá D.C.</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proofErr w:type="spellStart"/>
      <w:r w:rsidRPr="00703EC7">
        <w:rPr>
          <w:rFonts w:ascii="Segoe UI" w:eastAsia="Times New Roman" w:hAnsi="Segoe UI" w:cs="Segoe UI"/>
          <w:b/>
          <w:szCs w:val="24"/>
          <w:lang w:eastAsia="es-CO"/>
        </w:rPr>
        <w:t>Ref</w:t>
      </w:r>
      <w:proofErr w:type="spellEnd"/>
      <w:r w:rsidRPr="00703EC7">
        <w:rPr>
          <w:rFonts w:ascii="Segoe UI" w:eastAsia="Times New Roman" w:hAnsi="Segoe UI" w:cs="Segoe UI"/>
          <w:b/>
          <w:szCs w:val="24"/>
          <w:lang w:eastAsia="es-CO"/>
        </w:rPr>
        <w:t>:</w:t>
      </w:r>
      <w:r w:rsidRPr="00703EC7">
        <w:rPr>
          <w:rFonts w:ascii="Segoe UI" w:eastAsia="Times New Roman" w:hAnsi="Segoe UI" w:cs="Segoe UI"/>
          <w:szCs w:val="24"/>
          <w:lang w:eastAsia="es-CO"/>
        </w:rPr>
        <w:t xml:space="preserve"> Radicado 82408 del 20/11/2013</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Cordial saludo, Dra. Maribel:</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xml:space="preserve">De conformidad con el artículo 20 del Decreto 4048 de 2008, y la Orden Administrativa 000006 de 2009, es función de esta Subdirección absolver </w:t>
      </w:r>
      <w:r w:rsidRPr="00703EC7">
        <w:rPr>
          <w:rFonts w:ascii="Segoe UI" w:eastAsia="Times New Roman" w:hAnsi="Segoe UI" w:cs="Segoe UI"/>
          <w:b/>
          <w:bCs/>
          <w:szCs w:val="24"/>
          <w:lang w:eastAsia="es-CO"/>
        </w:rPr>
        <w:t xml:space="preserve">las consultas escritas que se formulen sobre </w:t>
      </w:r>
      <w:r w:rsidRPr="00703EC7">
        <w:rPr>
          <w:rFonts w:ascii="Segoe UI" w:eastAsia="Times New Roman" w:hAnsi="Segoe UI" w:cs="Segoe UI"/>
          <w:b/>
          <w:bCs/>
          <w:szCs w:val="24"/>
          <w:u w:val="single"/>
          <w:lang w:eastAsia="es-CO"/>
        </w:rPr>
        <w:t>la interpretación de las normas tributarias</w:t>
      </w:r>
      <w:r w:rsidRPr="00703EC7">
        <w:rPr>
          <w:rFonts w:ascii="Segoe UI" w:eastAsia="Times New Roman" w:hAnsi="Segoe UI" w:cs="Segoe UI"/>
          <w:szCs w:val="24"/>
          <w:lang w:eastAsia="es-CO"/>
        </w:rPr>
        <w:t xml:space="preserve"> de carácter nacional, aduaneras y cambiarias en lo de competencia de la Entidad.</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Así las cosas, no está dentro de las funciones de la Subdirección de Gestión Normativa y Doctrina definir o desatar la debida o no realización de actuaciones administrativas, pues se reitera, nuestra competencia se concreta a absolver- mediante concepto jurídico- las consultas sobre interpretación, entre otras de las normas tributarias.</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xml:space="preserve">Por otra parte, mediante la Circular 0175 del 29 de octubre de 2001 de la Dirección de Impuestos y Aduanas Nacionales, sobre seguridad jurídica, en el numeral 3° </w:t>
      </w:r>
      <w:r w:rsidRPr="00703EC7">
        <w:rPr>
          <w:rFonts w:ascii="Segoe UI" w:eastAsia="Times New Roman" w:hAnsi="Segoe UI" w:cs="Segoe UI"/>
          <w:b/>
          <w:szCs w:val="24"/>
          <w:lang w:eastAsia="es-CO"/>
        </w:rPr>
        <w:t>Obligatoriedad y vigencia de los conceptos,</w:t>
      </w:r>
      <w:r w:rsidRPr="00703EC7">
        <w:rPr>
          <w:rFonts w:ascii="Segoe UI" w:eastAsia="Times New Roman" w:hAnsi="Segoe UI" w:cs="Segoe UI"/>
          <w:szCs w:val="24"/>
          <w:lang w:eastAsia="es-CO"/>
        </w:rPr>
        <w:t xml:space="preserve"> en desarrollo del principio de irretroactividad, se precisó </w:t>
      </w:r>
      <w:r w:rsidRPr="00703EC7">
        <w:rPr>
          <w:rFonts w:ascii="Segoe UI" w:eastAsia="Times New Roman" w:hAnsi="Segoe UI" w:cs="Segoe UI"/>
          <w:i/>
          <w:szCs w:val="24"/>
          <w:lang w:eastAsia="es-CO"/>
        </w:rPr>
        <w:t xml:space="preserve">"(...) </w:t>
      </w:r>
      <w:r w:rsidRPr="00703EC7">
        <w:rPr>
          <w:rFonts w:ascii="Segoe UI" w:eastAsia="Times New Roman" w:hAnsi="Segoe UI" w:cs="Segoe UI"/>
          <w:i/>
          <w:iCs/>
          <w:szCs w:val="24"/>
          <w:lang w:eastAsia="es-CO"/>
        </w:rPr>
        <w:t xml:space="preserve">los conceptos que expida </w:t>
      </w:r>
      <w:r w:rsidRPr="00703EC7">
        <w:rPr>
          <w:rFonts w:ascii="Segoe UI" w:eastAsia="Times New Roman" w:hAnsi="Segoe UI" w:cs="Segoe UI"/>
          <w:i/>
          <w:szCs w:val="24"/>
          <w:lang w:eastAsia="es-CO"/>
        </w:rPr>
        <w:t xml:space="preserve">la </w:t>
      </w:r>
      <w:r w:rsidRPr="00703EC7">
        <w:rPr>
          <w:rFonts w:ascii="Segoe UI" w:eastAsia="Times New Roman" w:hAnsi="Segoe UI" w:cs="Segoe UI"/>
          <w:i/>
          <w:iCs/>
          <w:szCs w:val="24"/>
          <w:lang w:eastAsia="es-CO"/>
        </w:rPr>
        <w:t xml:space="preserve">DIAN </w:t>
      </w:r>
      <w:r w:rsidRPr="00703EC7">
        <w:rPr>
          <w:rFonts w:ascii="Segoe UI" w:eastAsia="Times New Roman" w:hAnsi="Segoe UI" w:cs="Segoe UI"/>
          <w:b/>
          <w:bCs/>
          <w:i/>
          <w:iCs/>
          <w:szCs w:val="24"/>
          <w:u w:val="single"/>
          <w:lang w:eastAsia="es-CO"/>
        </w:rPr>
        <w:t xml:space="preserve">tendrán vigencia hacia el futuro, </w:t>
      </w:r>
      <w:r w:rsidRPr="00703EC7">
        <w:rPr>
          <w:rFonts w:ascii="Segoe UI" w:eastAsia="Times New Roman" w:hAnsi="Segoe UI" w:cs="Segoe UI"/>
          <w:b/>
          <w:bCs/>
          <w:i/>
          <w:szCs w:val="24"/>
          <w:u w:val="single"/>
          <w:lang w:eastAsia="es-CO"/>
        </w:rPr>
        <w:t xml:space="preserve">es </w:t>
      </w:r>
      <w:r w:rsidRPr="00703EC7">
        <w:rPr>
          <w:rFonts w:ascii="Segoe UI" w:eastAsia="Times New Roman" w:hAnsi="Segoe UI" w:cs="Segoe UI"/>
          <w:b/>
          <w:bCs/>
          <w:i/>
          <w:iCs/>
          <w:szCs w:val="24"/>
          <w:u w:val="single"/>
          <w:lang w:eastAsia="es-CO"/>
        </w:rPr>
        <w:t>decir no tendrán el carácter de retroactivos</w:t>
      </w:r>
      <w:r w:rsidRPr="00703EC7">
        <w:rPr>
          <w:rFonts w:ascii="Segoe UI" w:eastAsia="Times New Roman" w:hAnsi="Segoe UI" w:cs="Segoe UI"/>
          <w:i/>
          <w:iCs/>
          <w:szCs w:val="24"/>
          <w:lang w:eastAsia="es-CO"/>
        </w:rPr>
        <w:t>."</w:t>
      </w:r>
      <w:r w:rsidRPr="00703EC7">
        <w:rPr>
          <w:rFonts w:ascii="Segoe UI" w:eastAsia="Times New Roman" w:hAnsi="Segoe UI" w:cs="Segoe UI"/>
          <w:i/>
          <w:szCs w:val="24"/>
          <w:lang w:eastAsia="es-CO"/>
        </w:rPr>
        <w:t xml:space="preserve"> </w:t>
      </w:r>
      <w:r w:rsidRPr="00703EC7">
        <w:rPr>
          <w:rFonts w:ascii="Segoe UI" w:eastAsia="Times New Roman" w:hAnsi="Segoe UI" w:cs="Segoe UI"/>
          <w:szCs w:val="24"/>
          <w:lang w:eastAsia="es-CO"/>
        </w:rPr>
        <w:t>(Se resalta y subraya). En tal sentido, su aplicación comprende aquellos hechos o actuaciones que ocurran después de su vigencia y como los situaciones tributarias que nos relata en su consulta ya ocurrieron, para desatar sus inquietudes nos remitiremos a los pronunciamientos que sobre el tema se encontraban vigentes.</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Una vez aclarado lo anterior, veamos lo consultado:</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xml:space="preserve">1. En el caso de las solicitudes de devolución y/o compensación presentadas por un contribuyente, registradas las sumas de los saldos a favor en las declaraciones de IVA año gravable 2009 bimestres 4, 5 y 6 y 2010 período 1, ¿qué Administración era la competente para resolver dichas solicitudes, teniendo en cuenta que la </w:t>
      </w:r>
      <w:r w:rsidRPr="00703EC7">
        <w:rPr>
          <w:rFonts w:ascii="Segoe UI" w:eastAsia="Times New Roman" w:hAnsi="Segoe UI" w:cs="Segoe UI"/>
          <w:szCs w:val="24"/>
          <w:lang w:eastAsia="es-CO"/>
        </w:rPr>
        <w:lastRenderedPageBreak/>
        <w:t>sociedad contribuyente presentó las declaraciones iniciales de IVA ante la Dirección Seccional de Impuestos de Medellín, y posteriormente las corrigió en la Dirección Seccional de Impuestos y Aduanas de Sincelejo?</w:t>
      </w:r>
    </w:p>
    <w:p w:rsidR="00703EC7" w:rsidRDefault="00703EC7" w:rsidP="00703EC7">
      <w:pPr>
        <w:spacing w:line="240" w:lineRule="auto"/>
        <w:rPr>
          <w:rFonts w:ascii="Segoe UI" w:eastAsia="Times New Roman" w:hAnsi="Segoe UI" w:cs="Segoe UI"/>
          <w:szCs w:val="24"/>
          <w:lang w:eastAsia="es-CO"/>
        </w:rPr>
      </w:pP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2. ¿La División de Gestión de Fiscalización Tributaria de la Dirección Seccional de Impuestos de Medellín, es competente para iniciar y/o continuar las investigaciones adelantadas por el programa PD en la División de Gestión de Fiscalización de la Dirección Seccional de Impuestos y Aduanas de Sincelejo, una vez éstas han sido archivadas en esa instancia y remitidas a Medellín, al considerar que la competencia radica en esa Dirección Seccional?</w:t>
      </w:r>
    </w:p>
    <w:p w:rsidR="00703EC7" w:rsidRDefault="00703EC7" w:rsidP="00703EC7">
      <w:pPr>
        <w:spacing w:line="240" w:lineRule="auto"/>
        <w:rPr>
          <w:rFonts w:ascii="Segoe UI" w:eastAsia="Times New Roman" w:hAnsi="Segoe UI" w:cs="Segoe UI"/>
          <w:szCs w:val="24"/>
          <w:lang w:eastAsia="es-CO"/>
        </w:rPr>
      </w:pPr>
    </w:p>
    <w:p w:rsidR="00703EC7" w:rsidRPr="00703EC7" w:rsidRDefault="00703EC7" w:rsidP="00703EC7">
      <w:pPr>
        <w:spacing w:line="240" w:lineRule="auto"/>
        <w:rPr>
          <w:rFonts w:eastAsia="Times New Roman"/>
          <w:szCs w:val="24"/>
          <w:lang w:eastAsia="es-CO"/>
        </w:rPr>
      </w:pPr>
      <w:bookmarkStart w:id="0" w:name="_GoBack"/>
      <w:bookmarkEnd w:id="0"/>
      <w:r w:rsidRPr="00703EC7">
        <w:rPr>
          <w:rFonts w:ascii="Segoe UI" w:eastAsia="Times New Roman" w:hAnsi="Segoe UI" w:cs="Segoe UI"/>
          <w:szCs w:val="24"/>
          <w:lang w:eastAsia="es-CO"/>
        </w:rPr>
        <w:t xml:space="preserve">3. Ante qué Dirección Seccional se debía radicar la solicitud de devolución en los casos planteados, teniendo en cuenta que inicialmente el contribuyente presentó sus declaraciones de IVA en la Dirección Seccional de Impuestos de Medellín y posteriormente las corrigió ante la Dirección Seccional de Impuestos y Aduanas de </w:t>
      </w:r>
      <w:proofErr w:type="gramStart"/>
      <w:r w:rsidRPr="00703EC7">
        <w:rPr>
          <w:rFonts w:ascii="Segoe UI" w:eastAsia="Times New Roman" w:hAnsi="Segoe UI" w:cs="Segoe UI"/>
          <w:szCs w:val="24"/>
          <w:lang w:eastAsia="es-CO"/>
        </w:rPr>
        <w:t>Sincelejo.?</w:t>
      </w:r>
      <w:proofErr w:type="gramEnd"/>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Agrega, para explicar las inquietudes, que según certificado de existencia y representación legal de la Cámara de Comercio de Medellín, la sociedad contribuyente se constituyó el 25 de septiembre de 2008, registrando su domicilio en la ciudad de Medellín. Luego, aparece registrada ante la Cámara de Comercio de la ciudad de Sincelejo el día 27 de mayo de 2010.</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Por otra parte, señala la consultante que en el histórico del RUT la sociedad aparece en principio con domicilio en la ciudad de Medellín y que para la fecha del 3 de junio de 2010, lo actualizó, señalando como domicilio la ciudad de Sincelejo.</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Al respecto, le informamos:</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Mediante el concepto jurídico No. 0</w:t>
      </w:r>
      <w:r w:rsidRPr="00703EC7">
        <w:rPr>
          <w:rFonts w:ascii="Segoe UI" w:eastAsia="Times New Roman" w:hAnsi="Segoe UI" w:cs="Segoe UI"/>
          <w:iCs/>
          <w:szCs w:val="24"/>
          <w:lang w:eastAsia="es-CO"/>
        </w:rPr>
        <w:t xml:space="preserve">61044 </w:t>
      </w:r>
      <w:r w:rsidRPr="00703EC7">
        <w:rPr>
          <w:rFonts w:ascii="Segoe UI" w:eastAsia="Times New Roman" w:hAnsi="Segoe UI" w:cs="Segoe UI"/>
          <w:szCs w:val="24"/>
          <w:lang w:eastAsia="es-CO"/>
        </w:rPr>
        <w:t>del 31 de julio de 1997, se señaló:</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i/>
          <w:iCs/>
          <w:szCs w:val="24"/>
          <w:lang w:eastAsia="es-CO"/>
        </w:rPr>
        <w:t>"PROBLEMA JURÍDICO</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i/>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szCs w:val="24"/>
          <w:lang w:eastAsia="es-CO"/>
        </w:rPr>
        <w:t>¿Cuál</w:t>
      </w:r>
      <w:r w:rsidRPr="00703EC7">
        <w:rPr>
          <w:rFonts w:ascii="Segoe UI" w:eastAsia="Times New Roman" w:hAnsi="Segoe UI" w:cs="Segoe UI"/>
          <w:i/>
          <w:iCs/>
          <w:szCs w:val="24"/>
          <w:lang w:eastAsia="es-CO"/>
        </w:rPr>
        <w:t xml:space="preserve"> </w:t>
      </w:r>
      <w:r w:rsidRPr="00703EC7">
        <w:rPr>
          <w:rFonts w:ascii="Segoe UI" w:eastAsia="Times New Roman" w:hAnsi="Segoe UI" w:cs="Segoe UI"/>
          <w:i/>
          <w:szCs w:val="24"/>
          <w:lang w:eastAsia="es-CO"/>
        </w:rPr>
        <w:t xml:space="preserve">es </w:t>
      </w:r>
      <w:r w:rsidRPr="00703EC7">
        <w:rPr>
          <w:rFonts w:ascii="Segoe UI" w:eastAsia="Times New Roman" w:hAnsi="Segoe UI" w:cs="Segoe UI"/>
          <w:i/>
          <w:iCs/>
          <w:szCs w:val="24"/>
          <w:lang w:eastAsia="es-CO"/>
        </w:rPr>
        <w:t>la Administración competente para conocer las solicitudes de devolución cuando hay cambio de domicilio?</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i/>
          <w:iCs/>
          <w:szCs w:val="24"/>
          <w:lang w:eastAsia="es-CO"/>
        </w:rPr>
        <w:t>TESIS JURÍDICA</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i/>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u w:val="single"/>
          <w:lang w:eastAsia="es-CO"/>
        </w:rPr>
        <w:t>La Administración competente</w:t>
      </w:r>
      <w:r w:rsidRPr="00703EC7">
        <w:rPr>
          <w:rFonts w:ascii="Segoe UI" w:eastAsia="Times New Roman" w:hAnsi="Segoe UI" w:cs="Segoe UI"/>
          <w:i/>
          <w:iCs/>
          <w:szCs w:val="24"/>
          <w:lang w:eastAsia="es-CO"/>
        </w:rPr>
        <w:t xml:space="preserve"> para conocer </w:t>
      </w:r>
      <w:r w:rsidRPr="00703EC7">
        <w:rPr>
          <w:rFonts w:ascii="Segoe UI" w:eastAsia="Times New Roman" w:hAnsi="Segoe UI" w:cs="Segoe UI"/>
          <w:i/>
          <w:szCs w:val="24"/>
          <w:lang w:eastAsia="es-CO"/>
        </w:rPr>
        <w:t xml:space="preserve">y </w:t>
      </w:r>
      <w:r w:rsidRPr="00703EC7">
        <w:rPr>
          <w:rFonts w:ascii="Segoe UI" w:eastAsia="Times New Roman" w:hAnsi="Segoe UI" w:cs="Segoe UI"/>
          <w:i/>
          <w:iCs/>
          <w:szCs w:val="24"/>
          <w:lang w:eastAsia="es-CO"/>
        </w:rPr>
        <w:t xml:space="preserve">tramitar las solicitudes de devolución y/o compensación, </w:t>
      </w:r>
      <w:r w:rsidRPr="00703EC7">
        <w:rPr>
          <w:rFonts w:ascii="Segoe UI" w:eastAsia="Times New Roman" w:hAnsi="Segoe UI" w:cs="Segoe UI"/>
          <w:b/>
          <w:bCs/>
          <w:i/>
          <w:szCs w:val="24"/>
          <w:u w:val="single"/>
          <w:lang w:eastAsia="es-CO"/>
        </w:rPr>
        <w:t xml:space="preserve">es </w:t>
      </w:r>
      <w:r w:rsidRPr="00703EC7">
        <w:rPr>
          <w:rFonts w:ascii="Segoe UI" w:eastAsia="Times New Roman" w:hAnsi="Segoe UI" w:cs="Segoe UI"/>
          <w:b/>
          <w:bCs/>
          <w:i/>
          <w:iCs/>
          <w:szCs w:val="24"/>
          <w:u w:val="single"/>
          <w:lang w:eastAsia="es-CO"/>
        </w:rPr>
        <w:t>aquella en donde se present</w:t>
      </w:r>
      <w:r w:rsidRPr="00703EC7">
        <w:rPr>
          <w:rFonts w:ascii="Segoe UI" w:eastAsia="Times New Roman" w:hAnsi="Segoe UI" w:cs="Segoe UI"/>
          <w:b/>
          <w:bCs/>
          <w:i/>
          <w:szCs w:val="24"/>
          <w:u w:val="single"/>
          <w:lang w:eastAsia="es-CO"/>
        </w:rPr>
        <w:t xml:space="preserve">ó </w:t>
      </w:r>
      <w:r w:rsidRPr="00703EC7">
        <w:rPr>
          <w:rFonts w:ascii="Segoe UI" w:eastAsia="Times New Roman" w:hAnsi="Segoe UI" w:cs="Segoe UI"/>
          <w:b/>
          <w:bCs/>
          <w:i/>
          <w:iCs/>
          <w:szCs w:val="24"/>
          <w:u w:val="single"/>
          <w:lang w:eastAsia="es-CO"/>
        </w:rPr>
        <w:t xml:space="preserve">la declaración tributaria que arroja el saldo </w:t>
      </w:r>
      <w:r w:rsidRPr="00703EC7">
        <w:rPr>
          <w:rFonts w:ascii="Segoe UI" w:eastAsia="Times New Roman" w:hAnsi="Segoe UI" w:cs="Segoe UI"/>
          <w:b/>
          <w:bCs/>
          <w:i/>
          <w:szCs w:val="24"/>
          <w:u w:val="single"/>
          <w:lang w:eastAsia="es-CO"/>
        </w:rPr>
        <w:t xml:space="preserve">a </w:t>
      </w:r>
      <w:r w:rsidRPr="00703EC7">
        <w:rPr>
          <w:rFonts w:ascii="Segoe UI" w:eastAsia="Times New Roman" w:hAnsi="Segoe UI" w:cs="Segoe UI"/>
          <w:b/>
          <w:bCs/>
          <w:i/>
          <w:iCs/>
          <w:szCs w:val="24"/>
          <w:u w:val="single"/>
          <w:lang w:eastAsia="es-CO"/>
        </w:rPr>
        <w:t>favor</w:t>
      </w:r>
      <w:r w:rsidRPr="00703EC7">
        <w:rPr>
          <w:rFonts w:ascii="Segoe UI" w:eastAsia="Times New Roman" w:hAnsi="Segoe UI" w:cs="Segoe UI"/>
          <w:i/>
          <w:iCs/>
          <w:szCs w:val="24"/>
          <w:lang w:eastAsia="es-CO"/>
        </w:rPr>
        <w:t>, independientemente de las circunstancias posteriores sobre cambio de domicilio.".</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En igual sentido, en el concepto jurídico No. 013510 del 22 de febrero de 2001, para el problema jurídico No. 5, se planteó la siguiente tesis jurídica:</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w:t>
      </w:r>
      <w:r w:rsidRPr="00703EC7">
        <w:rPr>
          <w:rFonts w:ascii="Segoe UI" w:eastAsia="Times New Roman" w:hAnsi="Segoe UI" w:cs="Segoe UI"/>
          <w:b/>
          <w:bCs/>
          <w:i/>
          <w:iCs/>
          <w:szCs w:val="24"/>
          <w:lang w:eastAsia="es-CO"/>
        </w:rPr>
        <w:t>PROBLEMA JURÍDICO</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szCs w:val="24"/>
          <w:lang w:eastAsia="es-CO"/>
        </w:rPr>
        <w:lastRenderedPageBreak/>
        <w:t>¿</w:t>
      </w:r>
      <w:proofErr w:type="spellStart"/>
      <w:r w:rsidRPr="00703EC7">
        <w:rPr>
          <w:rFonts w:ascii="Segoe UI" w:eastAsia="Times New Roman" w:hAnsi="Segoe UI" w:cs="Segoe UI"/>
          <w:i/>
          <w:szCs w:val="24"/>
          <w:lang w:eastAsia="es-CO"/>
        </w:rPr>
        <w:t>Cuando</w:t>
      </w:r>
      <w:proofErr w:type="spellEnd"/>
      <w:r w:rsidRPr="00703EC7">
        <w:rPr>
          <w:rFonts w:ascii="Segoe UI" w:eastAsia="Times New Roman" w:hAnsi="Segoe UI" w:cs="Segoe UI"/>
          <w:i/>
          <w:iCs/>
          <w:szCs w:val="24"/>
          <w:lang w:eastAsia="es-CO"/>
        </w:rPr>
        <w:t xml:space="preserve"> el cambio de domicilio social implica el cambio de Administración, cuál es la Administración ante la cual deben presentarse las declaraciones tributarias </w:t>
      </w:r>
      <w:r w:rsidRPr="00703EC7">
        <w:rPr>
          <w:rFonts w:ascii="Segoe UI" w:eastAsia="Times New Roman" w:hAnsi="Segoe UI" w:cs="Segoe UI"/>
          <w:i/>
          <w:szCs w:val="24"/>
          <w:lang w:eastAsia="es-CO"/>
        </w:rPr>
        <w:t xml:space="preserve">y </w:t>
      </w:r>
      <w:r w:rsidRPr="00703EC7">
        <w:rPr>
          <w:rFonts w:ascii="Segoe UI" w:eastAsia="Times New Roman" w:hAnsi="Segoe UI" w:cs="Segoe UI"/>
          <w:i/>
          <w:iCs/>
          <w:szCs w:val="24"/>
          <w:lang w:eastAsia="es-CO"/>
        </w:rPr>
        <w:t>adelantar las solicitudes de devolución?</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lang w:eastAsia="es-CO"/>
        </w:rPr>
        <w:t>TESIS JURÍDICA</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u w:val="single"/>
          <w:lang w:eastAsia="es-CO"/>
        </w:rPr>
        <w:t xml:space="preserve">Las declaraciones tributarias </w:t>
      </w:r>
      <w:r w:rsidRPr="00703EC7">
        <w:rPr>
          <w:rFonts w:ascii="Segoe UI" w:eastAsia="Times New Roman" w:hAnsi="Segoe UI" w:cs="Segoe UI"/>
          <w:b/>
          <w:bCs/>
          <w:i/>
          <w:szCs w:val="24"/>
          <w:u w:val="single"/>
          <w:lang w:eastAsia="es-CO"/>
        </w:rPr>
        <w:t xml:space="preserve">se </w:t>
      </w:r>
      <w:r w:rsidRPr="00703EC7">
        <w:rPr>
          <w:rFonts w:ascii="Segoe UI" w:eastAsia="Times New Roman" w:hAnsi="Segoe UI" w:cs="Segoe UI"/>
          <w:b/>
          <w:bCs/>
          <w:i/>
          <w:iCs/>
          <w:szCs w:val="24"/>
          <w:u w:val="single"/>
          <w:lang w:eastAsia="es-CO"/>
        </w:rPr>
        <w:t xml:space="preserve">deben presentar </w:t>
      </w:r>
      <w:r w:rsidRPr="00703EC7">
        <w:rPr>
          <w:rFonts w:ascii="Segoe UI" w:eastAsia="Times New Roman" w:hAnsi="Segoe UI" w:cs="Segoe UI"/>
          <w:b/>
          <w:bCs/>
          <w:i/>
          <w:szCs w:val="24"/>
          <w:u w:val="single"/>
          <w:lang w:eastAsia="es-CO"/>
        </w:rPr>
        <w:t xml:space="preserve">en </w:t>
      </w:r>
      <w:r w:rsidRPr="00703EC7">
        <w:rPr>
          <w:rFonts w:ascii="Segoe UI" w:eastAsia="Times New Roman" w:hAnsi="Segoe UI" w:cs="Segoe UI"/>
          <w:b/>
          <w:bCs/>
          <w:i/>
          <w:iCs/>
          <w:szCs w:val="24"/>
          <w:u w:val="single"/>
          <w:lang w:eastAsia="es-CO"/>
        </w:rPr>
        <w:t xml:space="preserve">la jurisdicción de la Administración con competencia </w:t>
      </w:r>
      <w:r w:rsidRPr="00703EC7">
        <w:rPr>
          <w:rFonts w:ascii="Segoe UI" w:eastAsia="Times New Roman" w:hAnsi="Segoe UI" w:cs="Segoe UI"/>
          <w:b/>
          <w:bCs/>
          <w:i/>
          <w:szCs w:val="24"/>
          <w:u w:val="single"/>
          <w:lang w:eastAsia="es-CO"/>
        </w:rPr>
        <w:t xml:space="preserve">en </w:t>
      </w:r>
      <w:r w:rsidRPr="00703EC7">
        <w:rPr>
          <w:rFonts w:ascii="Segoe UI" w:eastAsia="Times New Roman" w:hAnsi="Segoe UI" w:cs="Segoe UI"/>
          <w:b/>
          <w:bCs/>
          <w:i/>
          <w:iCs/>
          <w:szCs w:val="24"/>
          <w:u w:val="single"/>
          <w:lang w:eastAsia="es-CO"/>
        </w:rPr>
        <w:t xml:space="preserve">el domicilio social del declarante </w:t>
      </w:r>
      <w:r w:rsidRPr="00703EC7">
        <w:rPr>
          <w:rFonts w:ascii="Segoe UI" w:eastAsia="Times New Roman" w:hAnsi="Segoe UI" w:cs="Segoe UI"/>
          <w:b/>
          <w:bCs/>
          <w:i/>
          <w:szCs w:val="24"/>
          <w:u w:val="single"/>
          <w:lang w:eastAsia="es-CO"/>
        </w:rPr>
        <w:t xml:space="preserve">a </w:t>
      </w:r>
      <w:r w:rsidRPr="00703EC7">
        <w:rPr>
          <w:rFonts w:ascii="Segoe UI" w:eastAsia="Times New Roman" w:hAnsi="Segoe UI" w:cs="Segoe UI"/>
          <w:b/>
          <w:bCs/>
          <w:i/>
          <w:iCs/>
          <w:szCs w:val="24"/>
          <w:u w:val="single"/>
          <w:lang w:eastAsia="es-CO"/>
        </w:rPr>
        <w:t>la fecha de la presentación de la declaración</w:t>
      </w:r>
      <w:r w:rsidRPr="00703EC7">
        <w:rPr>
          <w:rFonts w:ascii="Segoe UI" w:eastAsia="Times New Roman" w:hAnsi="Segoe UI" w:cs="Segoe UI"/>
          <w:b/>
          <w:bCs/>
          <w:i/>
          <w:iCs/>
          <w:szCs w:val="24"/>
          <w:lang w:eastAsia="es-CO"/>
        </w:rPr>
        <w:t>.</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u w:val="single"/>
          <w:lang w:eastAsia="es-CO"/>
        </w:rPr>
        <w:t xml:space="preserve">Para tramitar solicitudes de devolución, es competente la Administración ante la cual se presentó la declaración cuyo saldo </w:t>
      </w:r>
      <w:r w:rsidRPr="00703EC7">
        <w:rPr>
          <w:rFonts w:ascii="Segoe UI" w:eastAsia="Times New Roman" w:hAnsi="Segoe UI" w:cs="Segoe UI"/>
          <w:b/>
          <w:bCs/>
          <w:i/>
          <w:szCs w:val="24"/>
          <w:u w:val="single"/>
          <w:lang w:eastAsia="es-CO"/>
        </w:rPr>
        <w:t xml:space="preserve">a </w:t>
      </w:r>
      <w:r w:rsidRPr="00703EC7">
        <w:rPr>
          <w:rFonts w:ascii="Segoe UI" w:eastAsia="Times New Roman" w:hAnsi="Segoe UI" w:cs="Segoe UI"/>
          <w:b/>
          <w:bCs/>
          <w:i/>
          <w:iCs/>
          <w:szCs w:val="24"/>
          <w:u w:val="single"/>
          <w:lang w:eastAsia="es-CO"/>
        </w:rPr>
        <w:t xml:space="preserve">favor </w:t>
      </w:r>
      <w:r w:rsidRPr="00703EC7">
        <w:rPr>
          <w:rFonts w:ascii="Segoe UI" w:eastAsia="Times New Roman" w:hAnsi="Segoe UI" w:cs="Segoe UI"/>
          <w:b/>
          <w:bCs/>
          <w:i/>
          <w:szCs w:val="24"/>
          <w:u w:val="single"/>
          <w:lang w:eastAsia="es-CO"/>
        </w:rPr>
        <w:t xml:space="preserve">se </w:t>
      </w:r>
      <w:r w:rsidRPr="00703EC7">
        <w:rPr>
          <w:rFonts w:ascii="Segoe UI" w:eastAsia="Times New Roman" w:hAnsi="Segoe UI" w:cs="Segoe UI"/>
          <w:b/>
          <w:bCs/>
          <w:i/>
          <w:iCs/>
          <w:szCs w:val="24"/>
          <w:u w:val="single"/>
          <w:lang w:eastAsia="es-CO"/>
        </w:rPr>
        <w:t>solicita en devolución</w:t>
      </w:r>
      <w:r w:rsidRPr="00703EC7">
        <w:rPr>
          <w:rFonts w:ascii="Segoe UI" w:eastAsia="Times New Roman" w:hAnsi="Segoe UI" w:cs="Segoe UI"/>
          <w:i/>
          <w:iCs/>
          <w:szCs w:val="24"/>
          <w:u w:val="single"/>
          <w:lang w:eastAsia="es-CO"/>
        </w:rPr>
        <w:t>.</w:t>
      </w:r>
      <w:r w:rsidRPr="00703EC7">
        <w:rPr>
          <w:rFonts w:ascii="Segoe UI" w:eastAsia="Times New Roman" w:hAnsi="Segoe UI" w:cs="Segoe UI"/>
          <w:i/>
          <w:iCs/>
          <w:szCs w:val="24"/>
          <w:lang w:eastAsia="es-CO"/>
        </w:rPr>
        <w:t>".</w:t>
      </w:r>
      <w:r w:rsidRPr="00703EC7">
        <w:rPr>
          <w:rFonts w:ascii="Segoe UI" w:eastAsia="Times New Roman" w:hAnsi="Segoe UI" w:cs="Segoe UI"/>
          <w:szCs w:val="24"/>
          <w:lang w:eastAsia="es-CO"/>
        </w:rPr>
        <w:t xml:space="preserve"> (Se resalta y subraya).</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A su turno, respecto de la declaración de corrección, con el Oficio No. 023277 del 14 de marzo de 1997, esta Entidad se pronunció de la siguiente manera:</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xml:space="preserve">"El Concepto No. </w:t>
      </w:r>
      <w:r w:rsidRPr="00703EC7">
        <w:rPr>
          <w:rFonts w:ascii="Segoe UI" w:eastAsia="Times New Roman" w:hAnsi="Segoe UI" w:cs="Segoe UI"/>
          <w:i/>
          <w:szCs w:val="24"/>
          <w:lang w:eastAsia="es-CO"/>
        </w:rPr>
        <w:t xml:space="preserve">43169 </w:t>
      </w:r>
      <w:r w:rsidRPr="00703EC7">
        <w:rPr>
          <w:rFonts w:ascii="Segoe UI" w:eastAsia="Times New Roman" w:hAnsi="Segoe UI" w:cs="Segoe UI"/>
          <w:i/>
          <w:iCs/>
          <w:szCs w:val="24"/>
          <w:lang w:eastAsia="es-CO"/>
        </w:rPr>
        <w:t xml:space="preserve">del </w:t>
      </w:r>
      <w:r w:rsidRPr="00703EC7">
        <w:rPr>
          <w:rFonts w:ascii="Segoe UI" w:eastAsia="Times New Roman" w:hAnsi="Segoe UI" w:cs="Segoe UI"/>
          <w:i/>
          <w:szCs w:val="24"/>
          <w:lang w:eastAsia="es-CO"/>
        </w:rPr>
        <w:t xml:space="preserve">24 </w:t>
      </w:r>
      <w:r w:rsidRPr="00703EC7">
        <w:rPr>
          <w:rFonts w:ascii="Segoe UI" w:eastAsia="Times New Roman" w:hAnsi="Segoe UI" w:cs="Segoe UI"/>
          <w:i/>
          <w:iCs/>
          <w:szCs w:val="24"/>
          <w:lang w:eastAsia="es-CO"/>
        </w:rPr>
        <w:t xml:space="preserve">de mayo de </w:t>
      </w:r>
      <w:r w:rsidRPr="00703EC7">
        <w:rPr>
          <w:rFonts w:ascii="Segoe UI" w:eastAsia="Times New Roman" w:hAnsi="Segoe UI" w:cs="Segoe UI"/>
          <w:i/>
          <w:szCs w:val="24"/>
          <w:lang w:eastAsia="es-CO"/>
        </w:rPr>
        <w:t xml:space="preserve">1996, a </w:t>
      </w:r>
      <w:r w:rsidRPr="00703EC7">
        <w:rPr>
          <w:rFonts w:ascii="Segoe UI" w:eastAsia="Times New Roman" w:hAnsi="Segoe UI" w:cs="Segoe UI"/>
          <w:i/>
          <w:iCs/>
          <w:szCs w:val="24"/>
          <w:lang w:eastAsia="es-CO"/>
        </w:rPr>
        <w:t xml:space="preserve">pesar de referirse </w:t>
      </w:r>
      <w:r w:rsidRPr="00703EC7">
        <w:rPr>
          <w:rFonts w:ascii="Segoe UI" w:eastAsia="Times New Roman" w:hAnsi="Segoe UI" w:cs="Segoe UI"/>
          <w:i/>
          <w:szCs w:val="24"/>
          <w:lang w:eastAsia="es-CO"/>
        </w:rPr>
        <w:t xml:space="preserve">a </w:t>
      </w:r>
      <w:r w:rsidRPr="00703EC7">
        <w:rPr>
          <w:rFonts w:ascii="Segoe UI" w:eastAsia="Times New Roman" w:hAnsi="Segoe UI" w:cs="Segoe UI"/>
          <w:i/>
          <w:iCs/>
          <w:szCs w:val="24"/>
          <w:lang w:eastAsia="es-CO"/>
        </w:rPr>
        <w:t xml:space="preserve">personas jurídicas, resuelve la inquietud planteada en el escrito de la referencia, al indicar que </w:t>
      </w:r>
      <w:r w:rsidRPr="00703EC7">
        <w:rPr>
          <w:rFonts w:ascii="Segoe UI" w:eastAsia="Times New Roman" w:hAnsi="Segoe UI" w:cs="Segoe UI"/>
          <w:b/>
          <w:bCs/>
          <w:i/>
          <w:iCs/>
          <w:szCs w:val="24"/>
          <w:u w:val="single"/>
          <w:lang w:eastAsia="es-CO"/>
        </w:rPr>
        <w:t xml:space="preserve">la corrección </w:t>
      </w:r>
      <w:r w:rsidRPr="00703EC7">
        <w:rPr>
          <w:rFonts w:ascii="Segoe UI" w:eastAsia="Times New Roman" w:hAnsi="Segoe UI" w:cs="Segoe UI"/>
          <w:b/>
          <w:bCs/>
          <w:i/>
          <w:szCs w:val="24"/>
          <w:u w:val="single"/>
          <w:lang w:eastAsia="es-CO"/>
        </w:rPr>
        <w:t xml:space="preserve">a </w:t>
      </w:r>
      <w:r w:rsidRPr="00703EC7">
        <w:rPr>
          <w:rFonts w:ascii="Segoe UI" w:eastAsia="Times New Roman" w:hAnsi="Segoe UI" w:cs="Segoe UI"/>
          <w:b/>
          <w:bCs/>
          <w:i/>
          <w:iCs/>
          <w:szCs w:val="24"/>
          <w:u w:val="single"/>
          <w:lang w:eastAsia="es-CO"/>
        </w:rPr>
        <w:t>una declaración inicial</w:t>
      </w:r>
      <w:r w:rsidRPr="00703EC7">
        <w:rPr>
          <w:rFonts w:ascii="Segoe UI" w:eastAsia="Times New Roman" w:hAnsi="Segoe UI" w:cs="Segoe UI"/>
          <w:i/>
          <w:iCs/>
          <w:szCs w:val="24"/>
          <w:lang w:eastAsia="es-CO"/>
        </w:rPr>
        <w:t xml:space="preserve">, legalmente presentada, </w:t>
      </w:r>
      <w:r w:rsidRPr="00703EC7">
        <w:rPr>
          <w:rFonts w:ascii="Segoe UI" w:eastAsia="Times New Roman" w:hAnsi="Segoe UI" w:cs="Segoe UI"/>
          <w:b/>
          <w:bCs/>
          <w:i/>
          <w:iCs/>
          <w:szCs w:val="24"/>
          <w:u w:val="single"/>
          <w:lang w:eastAsia="es-CO"/>
        </w:rPr>
        <w:t>debe radicarse en</w:t>
      </w:r>
      <w:r w:rsidRPr="00703EC7">
        <w:rPr>
          <w:rFonts w:ascii="Segoe UI" w:eastAsia="Times New Roman" w:hAnsi="Segoe UI" w:cs="Segoe UI"/>
          <w:i/>
          <w:iCs/>
          <w:szCs w:val="24"/>
          <w:u w:val="single"/>
          <w:lang w:eastAsia="es-CO"/>
        </w:rPr>
        <w:t xml:space="preserve"> </w:t>
      </w:r>
      <w:r w:rsidRPr="00703EC7">
        <w:rPr>
          <w:rFonts w:ascii="Segoe UI" w:eastAsia="Times New Roman" w:hAnsi="Segoe UI" w:cs="Segoe UI"/>
          <w:b/>
          <w:bCs/>
          <w:i/>
          <w:iCs/>
          <w:szCs w:val="24"/>
          <w:u w:val="single"/>
          <w:lang w:eastAsia="es-CO"/>
        </w:rPr>
        <w:t>el lugar donde</w:t>
      </w:r>
      <w:r w:rsidRPr="00703EC7">
        <w:rPr>
          <w:rFonts w:ascii="Segoe UI" w:eastAsia="Times New Roman" w:hAnsi="Segoe UI" w:cs="Segoe UI"/>
          <w:i/>
          <w:iCs/>
          <w:szCs w:val="24"/>
          <w:lang w:eastAsia="es-CO"/>
        </w:rPr>
        <w:t xml:space="preserve"> conforme </w:t>
      </w:r>
      <w:r w:rsidRPr="00703EC7">
        <w:rPr>
          <w:rFonts w:ascii="Segoe UI" w:eastAsia="Times New Roman" w:hAnsi="Segoe UI" w:cs="Segoe UI"/>
          <w:i/>
          <w:szCs w:val="24"/>
          <w:lang w:eastAsia="es-CO"/>
        </w:rPr>
        <w:t xml:space="preserve">a </w:t>
      </w:r>
      <w:r w:rsidRPr="00703EC7">
        <w:rPr>
          <w:rFonts w:ascii="Segoe UI" w:eastAsia="Times New Roman" w:hAnsi="Segoe UI" w:cs="Segoe UI"/>
          <w:i/>
          <w:iCs/>
          <w:szCs w:val="24"/>
          <w:lang w:eastAsia="es-CO"/>
        </w:rPr>
        <w:t xml:space="preserve">la Ley, </w:t>
      </w:r>
      <w:r w:rsidRPr="00703EC7">
        <w:rPr>
          <w:rFonts w:ascii="Segoe UI" w:eastAsia="Times New Roman" w:hAnsi="Segoe UI" w:cs="Segoe UI"/>
          <w:i/>
          <w:szCs w:val="24"/>
          <w:lang w:eastAsia="es-CO"/>
        </w:rPr>
        <w:t xml:space="preserve">y </w:t>
      </w:r>
      <w:r w:rsidRPr="00703EC7">
        <w:rPr>
          <w:rFonts w:ascii="Segoe UI" w:eastAsia="Times New Roman" w:hAnsi="Segoe UI" w:cs="Segoe UI"/>
          <w:i/>
          <w:iCs/>
          <w:szCs w:val="24"/>
          <w:lang w:eastAsia="es-CO"/>
        </w:rPr>
        <w:t xml:space="preserve">al reglamento </w:t>
      </w:r>
      <w:r w:rsidRPr="00703EC7">
        <w:rPr>
          <w:rFonts w:ascii="Segoe UI" w:eastAsia="Times New Roman" w:hAnsi="Segoe UI" w:cs="Segoe UI"/>
          <w:b/>
          <w:bCs/>
          <w:i/>
          <w:iCs/>
          <w:szCs w:val="24"/>
          <w:u w:val="single"/>
          <w:lang w:eastAsia="es-CO"/>
        </w:rPr>
        <w:t>debió cumplirse con el deber</w:t>
      </w:r>
      <w:r w:rsidRPr="00703EC7">
        <w:rPr>
          <w:rFonts w:ascii="Segoe UI" w:eastAsia="Times New Roman" w:hAnsi="Segoe UI" w:cs="Segoe UI"/>
          <w:i/>
          <w:iCs/>
          <w:szCs w:val="24"/>
          <w:u w:val="single"/>
          <w:lang w:eastAsia="es-CO"/>
        </w:rPr>
        <w:t xml:space="preserve"> </w:t>
      </w:r>
      <w:r w:rsidRPr="00703EC7">
        <w:rPr>
          <w:rFonts w:ascii="Segoe UI" w:eastAsia="Times New Roman" w:hAnsi="Segoe UI" w:cs="Segoe UI"/>
          <w:b/>
          <w:bCs/>
          <w:i/>
          <w:iCs/>
          <w:szCs w:val="24"/>
          <w:u w:val="single"/>
          <w:lang w:eastAsia="es-CO"/>
        </w:rPr>
        <w:t>formal de declarar</w:t>
      </w:r>
      <w:r w:rsidRPr="00703EC7">
        <w:rPr>
          <w:rFonts w:ascii="Segoe UI" w:eastAsia="Times New Roman" w:hAnsi="Segoe UI" w:cs="Segoe UI"/>
          <w:b/>
          <w:bCs/>
          <w:i/>
          <w:iCs/>
          <w:szCs w:val="24"/>
          <w:lang w:eastAsia="es-CO"/>
        </w:rPr>
        <w:t>.</w:t>
      </w:r>
      <w:r w:rsidRPr="00703EC7">
        <w:rPr>
          <w:rFonts w:ascii="Segoe UI" w:eastAsia="Times New Roman" w:hAnsi="Segoe UI" w:cs="Segoe UI"/>
          <w:i/>
          <w:iCs/>
          <w:szCs w:val="24"/>
          <w:lang w:eastAsia="es-CO"/>
        </w:rPr>
        <w:t xml:space="preserve"> </w:t>
      </w:r>
      <w:r w:rsidRPr="00703EC7">
        <w:rPr>
          <w:rFonts w:ascii="Segoe UI" w:eastAsia="Times New Roman" w:hAnsi="Segoe UI" w:cs="Segoe UI"/>
          <w:b/>
          <w:bCs/>
          <w:i/>
          <w:iCs/>
          <w:szCs w:val="24"/>
          <w:u w:val="single"/>
          <w:lang w:eastAsia="es-CO"/>
        </w:rPr>
        <w:t>La Administración</w:t>
      </w:r>
      <w:r w:rsidRPr="00703EC7">
        <w:rPr>
          <w:rFonts w:ascii="Segoe UI" w:eastAsia="Times New Roman" w:hAnsi="Segoe UI" w:cs="Segoe UI"/>
          <w:i/>
          <w:iCs/>
          <w:szCs w:val="24"/>
          <w:lang w:eastAsia="es-CO"/>
        </w:rPr>
        <w:t xml:space="preserve"> de Impuestos </w:t>
      </w:r>
      <w:r w:rsidRPr="00703EC7">
        <w:rPr>
          <w:rFonts w:ascii="Segoe UI" w:eastAsia="Times New Roman" w:hAnsi="Segoe UI" w:cs="Segoe UI"/>
          <w:i/>
          <w:szCs w:val="24"/>
          <w:lang w:eastAsia="es-CO"/>
        </w:rPr>
        <w:t xml:space="preserve">y </w:t>
      </w:r>
      <w:r w:rsidRPr="00703EC7">
        <w:rPr>
          <w:rFonts w:ascii="Segoe UI" w:eastAsia="Times New Roman" w:hAnsi="Segoe UI" w:cs="Segoe UI"/>
          <w:i/>
          <w:iCs/>
          <w:szCs w:val="24"/>
          <w:lang w:eastAsia="es-CO"/>
        </w:rPr>
        <w:t xml:space="preserve">Aduanas Nacionales </w:t>
      </w:r>
      <w:r w:rsidRPr="00703EC7">
        <w:rPr>
          <w:rFonts w:ascii="Segoe UI" w:eastAsia="Times New Roman" w:hAnsi="Segoe UI" w:cs="Segoe UI"/>
          <w:i/>
          <w:szCs w:val="24"/>
          <w:lang w:eastAsia="es-CO"/>
        </w:rPr>
        <w:t xml:space="preserve">[Hoy Dirección Seccional de Impuestos y Aduanas Nacionales] </w:t>
      </w:r>
      <w:r w:rsidRPr="00703EC7">
        <w:rPr>
          <w:rFonts w:ascii="Segoe UI" w:eastAsia="Times New Roman" w:hAnsi="Segoe UI" w:cs="Segoe UI"/>
          <w:b/>
          <w:bCs/>
          <w:i/>
          <w:iCs/>
          <w:szCs w:val="24"/>
          <w:u w:val="single"/>
          <w:lang w:eastAsia="es-CO"/>
        </w:rPr>
        <w:t xml:space="preserve">con jurisdicción en el territorio respectivo </w:t>
      </w:r>
      <w:r w:rsidRPr="00703EC7">
        <w:rPr>
          <w:rFonts w:ascii="Segoe UI" w:eastAsia="Times New Roman" w:hAnsi="Segoe UI" w:cs="Segoe UI"/>
          <w:b/>
          <w:bCs/>
          <w:i/>
          <w:szCs w:val="24"/>
          <w:u w:val="single"/>
          <w:lang w:eastAsia="es-CO"/>
        </w:rPr>
        <w:t xml:space="preserve">es </w:t>
      </w:r>
      <w:r w:rsidRPr="00703EC7">
        <w:rPr>
          <w:rFonts w:ascii="Segoe UI" w:eastAsia="Times New Roman" w:hAnsi="Segoe UI" w:cs="Segoe UI"/>
          <w:b/>
          <w:bCs/>
          <w:i/>
          <w:iCs/>
          <w:szCs w:val="24"/>
          <w:u w:val="single"/>
          <w:lang w:eastAsia="es-CO"/>
        </w:rPr>
        <w:t>la competente para conocer los trámites y procedimientos administrativos correspondientes</w:t>
      </w:r>
      <w:r w:rsidRPr="00703EC7">
        <w:rPr>
          <w:rFonts w:ascii="Segoe UI" w:eastAsia="Times New Roman" w:hAnsi="Segoe UI" w:cs="Segoe UI"/>
          <w:b/>
          <w:bCs/>
          <w:i/>
          <w:iCs/>
          <w:szCs w:val="24"/>
          <w:lang w:eastAsia="es-CO"/>
        </w:rPr>
        <w:t>.".</w:t>
      </w:r>
      <w:r w:rsidRPr="00703EC7">
        <w:rPr>
          <w:rFonts w:ascii="Segoe UI" w:eastAsia="Times New Roman" w:hAnsi="Segoe UI" w:cs="Segoe UI"/>
          <w:szCs w:val="24"/>
          <w:lang w:eastAsia="es-CO"/>
        </w:rPr>
        <w:t xml:space="preserve"> (Se resalta y subraya).</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y sobre el mismo tema de la corrección de una declaración inicial, en el segundo párrafo de la interpretación jurídica del problema jurídico No. 2 del concepto No. 092979 del 3 de diciembre de 1998, y en el Oficio No, 094150 de 2006, se expresó:</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lang w:eastAsia="es-CO"/>
        </w:rPr>
        <w:t>"</w:t>
      </w:r>
      <w:r w:rsidRPr="00703EC7">
        <w:rPr>
          <w:rFonts w:ascii="Segoe UI" w:eastAsia="Times New Roman" w:hAnsi="Segoe UI" w:cs="Segoe UI"/>
          <w:b/>
          <w:bCs/>
          <w:i/>
          <w:iCs/>
          <w:szCs w:val="24"/>
          <w:u w:val="single"/>
          <w:lang w:eastAsia="es-CO"/>
        </w:rPr>
        <w:t xml:space="preserve">Presentada entonces, por una persona jurídica, una declaración tributaria </w:t>
      </w:r>
      <w:r w:rsidRPr="00703EC7">
        <w:rPr>
          <w:rFonts w:ascii="Segoe UI" w:eastAsia="Times New Roman" w:hAnsi="Segoe UI" w:cs="Segoe UI"/>
          <w:b/>
          <w:bCs/>
          <w:i/>
          <w:szCs w:val="24"/>
          <w:u w:val="single"/>
          <w:lang w:eastAsia="es-CO"/>
        </w:rPr>
        <w:t xml:space="preserve">o </w:t>
      </w:r>
      <w:r w:rsidRPr="00703EC7">
        <w:rPr>
          <w:rFonts w:ascii="Segoe UI" w:eastAsia="Times New Roman" w:hAnsi="Segoe UI" w:cs="Segoe UI"/>
          <w:b/>
          <w:bCs/>
          <w:i/>
          <w:iCs/>
          <w:szCs w:val="24"/>
          <w:u w:val="single"/>
          <w:lang w:eastAsia="es-CO"/>
        </w:rPr>
        <w:t>de corrección en el lugar que corresponde</w:t>
      </w:r>
      <w:r w:rsidRPr="00703EC7">
        <w:rPr>
          <w:rFonts w:ascii="Segoe UI" w:eastAsia="Times New Roman" w:hAnsi="Segoe UI" w:cs="Segoe UI"/>
          <w:b/>
          <w:bCs/>
          <w:i/>
          <w:iCs/>
          <w:szCs w:val="24"/>
          <w:lang w:eastAsia="es-CO"/>
        </w:rPr>
        <w:t xml:space="preserve"> </w:t>
      </w:r>
      <w:r w:rsidRPr="00703EC7">
        <w:rPr>
          <w:rFonts w:ascii="Segoe UI" w:eastAsia="Times New Roman" w:hAnsi="Segoe UI" w:cs="Segoe UI"/>
          <w:bCs/>
          <w:i/>
          <w:iCs/>
          <w:szCs w:val="24"/>
          <w:lang w:eastAsia="es-CO"/>
        </w:rPr>
        <w:t xml:space="preserve">conforme </w:t>
      </w:r>
      <w:r w:rsidRPr="00703EC7">
        <w:rPr>
          <w:rFonts w:ascii="Segoe UI" w:eastAsia="Times New Roman" w:hAnsi="Segoe UI" w:cs="Segoe UI"/>
          <w:bCs/>
          <w:i/>
          <w:szCs w:val="24"/>
          <w:lang w:eastAsia="es-CO"/>
        </w:rPr>
        <w:t xml:space="preserve">a </w:t>
      </w:r>
      <w:r w:rsidRPr="00703EC7">
        <w:rPr>
          <w:rFonts w:ascii="Segoe UI" w:eastAsia="Times New Roman" w:hAnsi="Segoe UI" w:cs="Segoe UI"/>
          <w:bCs/>
          <w:i/>
          <w:iCs/>
          <w:szCs w:val="24"/>
          <w:lang w:eastAsia="es-CO"/>
        </w:rPr>
        <w:t xml:space="preserve">la ley </w:t>
      </w:r>
      <w:r w:rsidRPr="00703EC7">
        <w:rPr>
          <w:rFonts w:ascii="Segoe UI" w:eastAsia="Times New Roman" w:hAnsi="Segoe UI" w:cs="Segoe UI"/>
          <w:bCs/>
          <w:i/>
          <w:szCs w:val="24"/>
          <w:lang w:eastAsia="es-CO"/>
        </w:rPr>
        <w:t xml:space="preserve">y a </w:t>
      </w:r>
      <w:r w:rsidRPr="00703EC7">
        <w:rPr>
          <w:rFonts w:ascii="Segoe UI" w:eastAsia="Times New Roman" w:hAnsi="Segoe UI" w:cs="Segoe UI"/>
          <w:bCs/>
          <w:i/>
          <w:iCs/>
          <w:szCs w:val="24"/>
          <w:lang w:eastAsia="es-CO"/>
        </w:rPr>
        <w:t>los reglamentos,</w:t>
      </w:r>
      <w:r w:rsidRPr="00703EC7">
        <w:rPr>
          <w:rFonts w:ascii="Segoe UI" w:eastAsia="Times New Roman" w:hAnsi="Segoe UI" w:cs="Segoe UI"/>
          <w:b/>
          <w:bCs/>
          <w:i/>
          <w:iCs/>
          <w:szCs w:val="24"/>
          <w:lang w:eastAsia="es-CO"/>
        </w:rPr>
        <w:t xml:space="preserve"> </w:t>
      </w:r>
      <w:r w:rsidRPr="00703EC7">
        <w:rPr>
          <w:rFonts w:ascii="Segoe UI" w:eastAsia="Times New Roman" w:hAnsi="Segoe UI" w:cs="Segoe UI"/>
          <w:b/>
          <w:bCs/>
          <w:i/>
          <w:szCs w:val="24"/>
          <w:u w:val="single"/>
          <w:lang w:eastAsia="es-CO"/>
        </w:rPr>
        <w:t xml:space="preserve">es </w:t>
      </w:r>
      <w:r w:rsidRPr="00703EC7">
        <w:rPr>
          <w:rFonts w:ascii="Segoe UI" w:eastAsia="Times New Roman" w:hAnsi="Segoe UI" w:cs="Segoe UI"/>
          <w:b/>
          <w:bCs/>
          <w:i/>
          <w:iCs/>
          <w:szCs w:val="24"/>
          <w:u w:val="single"/>
          <w:lang w:eastAsia="es-CO"/>
        </w:rPr>
        <w:t xml:space="preserve">claro que queda determinada la competencia territorial en la Administración cuya jurisdicción </w:t>
      </w:r>
      <w:r w:rsidRPr="00703EC7">
        <w:rPr>
          <w:rFonts w:ascii="Segoe UI" w:eastAsia="Times New Roman" w:hAnsi="Segoe UI" w:cs="Segoe UI"/>
          <w:b/>
          <w:bCs/>
          <w:i/>
          <w:szCs w:val="24"/>
          <w:u w:val="single"/>
          <w:lang w:eastAsia="es-CO"/>
        </w:rPr>
        <w:t xml:space="preserve">se </w:t>
      </w:r>
      <w:r w:rsidRPr="00703EC7">
        <w:rPr>
          <w:rFonts w:ascii="Segoe UI" w:eastAsia="Times New Roman" w:hAnsi="Segoe UI" w:cs="Segoe UI"/>
          <w:b/>
          <w:bCs/>
          <w:i/>
          <w:iCs/>
          <w:szCs w:val="24"/>
          <w:u w:val="single"/>
          <w:lang w:eastAsia="es-CO"/>
        </w:rPr>
        <w:t xml:space="preserve">extiende al lugar donde </w:t>
      </w:r>
      <w:r w:rsidRPr="00703EC7">
        <w:rPr>
          <w:rFonts w:ascii="Segoe UI" w:eastAsia="Times New Roman" w:hAnsi="Segoe UI" w:cs="Segoe UI"/>
          <w:b/>
          <w:bCs/>
          <w:i/>
          <w:szCs w:val="24"/>
          <w:u w:val="single"/>
          <w:lang w:eastAsia="es-CO"/>
        </w:rPr>
        <w:t xml:space="preserve">se </w:t>
      </w:r>
      <w:r w:rsidRPr="00703EC7">
        <w:rPr>
          <w:rFonts w:ascii="Segoe UI" w:eastAsia="Times New Roman" w:hAnsi="Segoe UI" w:cs="Segoe UI"/>
          <w:b/>
          <w:bCs/>
          <w:i/>
          <w:iCs/>
          <w:szCs w:val="24"/>
          <w:u w:val="single"/>
          <w:lang w:eastAsia="es-CO"/>
        </w:rPr>
        <w:t xml:space="preserve">cumplió con el deber formal de declarar, lo que implica para la misma el desarrollo de los trámites administrativos y procedimentales en cumplimiento de las funciones de determinación y discusión de los impuestos, como de las actuaciones que </w:t>
      </w:r>
      <w:r w:rsidRPr="00703EC7">
        <w:rPr>
          <w:rFonts w:ascii="Segoe UI" w:eastAsia="Times New Roman" w:hAnsi="Segoe UI" w:cs="Segoe UI"/>
          <w:b/>
          <w:bCs/>
          <w:i/>
          <w:szCs w:val="24"/>
          <w:u w:val="single"/>
          <w:lang w:eastAsia="es-CO"/>
        </w:rPr>
        <w:t xml:space="preserve">se </w:t>
      </w:r>
      <w:r w:rsidRPr="00703EC7">
        <w:rPr>
          <w:rFonts w:ascii="Segoe UI" w:eastAsia="Times New Roman" w:hAnsi="Segoe UI" w:cs="Segoe UI"/>
          <w:b/>
          <w:bCs/>
          <w:i/>
          <w:iCs/>
          <w:szCs w:val="24"/>
          <w:u w:val="single"/>
          <w:lang w:eastAsia="es-CO"/>
        </w:rPr>
        <w:t xml:space="preserve">deriven de </w:t>
      </w:r>
      <w:r w:rsidRPr="00703EC7">
        <w:rPr>
          <w:rFonts w:ascii="Segoe UI" w:eastAsia="Times New Roman" w:hAnsi="Segoe UI" w:cs="Segoe UI"/>
          <w:b/>
          <w:bCs/>
          <w:i/>
          <w:szCs w:val="24"/>
          <w:u w:val="single"/>
          <w:lang w:eastAsia="es-CO"/>
        </w:rPr>
        <w:t xml:space="preserve">esa </w:t>
      </w:r>
      <w:r w:rsidRPr="00703EC7">
        <w:rPr>
          <w:rFonts w:ascii="Segoe UI" w:eastAsia="Times New Roman" w:hAnsi="Segoe UI" w:cs="Segoe UI"/>
          <w:b/>
          <w:bCs/>
          <w:i/>
          <w:iCs/>
          <w:szCs w:val="24"/>
          <w:u w:val="single"/>
          <w:lang w:eastAsia="es-CO"/>
        </w:rPr>
        <w:t>liquidación privada.</w:t>
      </w:r>
      <w:r w:rsidRPr="00703EC7">
        <w:rPr>
          <w:rFonts w:ascii="Segoe UI" w:eastAsia="Times New Roman" w:hAnsi="Segoe UI" w:cs="Segoe UI"/>
          <w:b/>
          <w:bCs/>
          <w:i/>
          <w:szCs w:val="24"/>
          <w:lang w:eastAsia="es-CO"/>
        </w:rPr>
        <w:t>".</w:t>
      </w:r>
      <w:r w:rsidRPr="00703EC7">
        <w:rPr>
          <w:rFonts w:ascii="Segoe UI" w:eastAsia="Times New Roman" w:hAnsi="Segoe UI" w:cs="Segoe UI"/>
          <w:szCs w:val="24"/>
          <w:lang w:eastAsia="es-CO"/>
        </w:rPr>
        <w:t xml:space="preserve"> (Se resalta y subraya).</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xml:space="preserve">/.../ </w:t>
      </w:r>
      <w:r w:rsidRPr="00703EC7">
        <w:rPr>
          <w:rFonts w:ascii="Segoe UI" w:eastAsia="Times New Roman" w:hAnsi="Segoe UI" w:cs="Segoe UI"/>
          <w:i/>
          <w:szCs w:val="24"/>
          <w:lang w:eastAsia="es-CO"/>
        </w:rPr>
        <w:t>"</w:t>
      </w:r>
      <w:r w:rsidRPr="00703EC7">
        <w:rPr>
          <w:rFonts w:ascii="Segoe UI" w:eastAsia="Times New Roman" w:hAnsi="Segoe UI" w:cs="Segoe UI"/>
          <w:b/>
          <w:bCs/>
          <w:i/>
          <w:iCs/>
          <w:szCs w:val="24"/>
          <w:u w:val="single"/>
          <w:lang w:eastAsia="es-CO"/>
        </w:rPr>
        <w:t>las correcciones sobre una declaración inicial</w:t>
      </w:r>
      <w:r w:rsidRPr="00703EC7">
        <w:rPr>
          <w:rFonts w:ascii="Segoe UI" w:eastAsia="Times New Roman" w:hAnsi="Segoe UI" w:cs="Segoe UI"/>
          <w:i/>
          <w:iCs/>
          <w:szCs w:val="24"/>
          <w:lang w:eastAsia="es-CO"/>
        </w:rPr>
        <w:t xml:space="preserve"> legalmente presentada, </w:t>
      </w:r>
      <w:r w:rsidRPr="00703EC7">
        <w:rPr>
          <w:rFonts w:ascii="Segoe UI" w:eastAsia="Times New Roman" w:hAnsi="Segoe UI" w:cs="Segoe UI"/>
          <w:b/>
          <w:bCs/>
          <w:i/>
          <w:iCs/>
          <w:szCs w:val="24"/>
          <w:u w:val="single"/>
          <w:lang w:eastAsia="es-CO"/>
        </w:rPr>
        <w:t xml:space="preserve">en el evento de cambio de domicilio social principal, deben presentarse en </w:t>
      </w:r>
      <w:r w:rsidRPr="00703EC7">
        <w:rPr>
          <w:rFonts w:ascii="Segoe UI" w:eastAsia="Times New Roman" w:hAnsi="Segoe UI" w:cs="Segoe UI"/>
          <w:b/>
          <w:bCs/>
          <w:i/>
          <w:szCs w:val="24"/>
          <w:u w:val="single"/>
          <w:lang w:eastAsia="es-CO"/>
        </w:rPr>
        <w:t xml:space="preserve">ese </w:t>
      </w:r>
      <w:r w:rsidRPr="00703EC7">
        <w:rPr>
          <w:rFonts w:ascii="Segoe UI" w:eastAsia="Times New Roman" w:hAnsi="Segoe UI" w:cs="Segoe UI"/>
          <w:b/>
          <w:bCs/>
          <w:i/>
          <w:iCs/>
          <w:szCs w:val="24"/>
          <w:u w:val="single"/>
          <w:lang w:eastAsia="es-CO"/>
        </w:rPr>
        <w:t xml:space="preserve">mismo lugar (donde debió cumplirse con el deber formal de declarar), siendo la Administración de Impuestos y Aduanas Nacionales con jurisdicción el lugar respectivo, la competente para conocer entre otros </w:t>
      </w:r>
      <w:r w:rsidRPr="00703EC7">
        <w:rPr>
          <w:rFonts w:ascii="Segoe UI" w:eastAsia="Times New Roman" w:hAnsi="Segoe UI" w:cs="Segoe UI"/>
          <w:b/>
          <w:bCs/>
          <w:i/>
          <w:szCs w:val="24"/>
          <w:u w:val="single"/>
          <w:lang w:eastAsia="es-CO"/>
        </w:rPr>
        <w:t xml:space="preserve">aspectos, </w:t>
      </w:r>
      <w:r w:rsidRPr="00703EC7">
        <w:rPr>
          <w:rFonts w:ascii="Segoe UI" w:eastAsia="Times New Roman" w:hAnsi="Segoe UI" w:cs="Segoe UI"/>
          <w:b/>
          <w:bCs/>
          <w:i/>
          <w:iCs/>
          <w:szCs w:val="24"/>
          <w:u w:val="single"/>
          <w:lang w:eastAsia="es-CO"/>
        </w:rPr>
        <w:t>la solicitud de devolución correspondiente.</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lastRenderedPageBreak/>
        <w:t xml:space="preserve">Lo anterior en desarrollo del principio de la independencia de los períodos fiscales </w:t>
      </w:r>
      <w:r w:rsidRPr="00703EC7">
        <w:rPr>
          <w:rFonts w:ascii="Segoe UI" w:eastAsia="Times New Roman" w:hAnsi="Segoe UI" w:cs="Segoe UI"/>
          <w:i/>
          <w:szCs w:val="24"/>
          <w:lang w:eastAsia="es-CO"/>
        </w:rPr>
        <w:t xml:space="preserve">y </w:t>
      </w:r>
      <w:r w:rsidRPr="00703EC7">
        <w:rPr>
          <w:rFonts w:ascii="Segoe UI" w:eastAsia="Times New Roman" w:hAnsi="Segoe UI" w:cs="Segoe UI"/>
          <w:i/>
          <w:iCs/>
          <w:szCs w:val="24"/>
          <w:lang w:eastAsia="es-CO"/>
        </w:rPr>
        <w:t xml:space="preserve">de los actos administrativos que </w:t>
      </w:r>
      <w:r w:rsidRPr="00703EC7">
        <w:rPr>
          <w:rFonts w:ascii="Segoe UI" w:eastAsia="Times New Roman" w:hAnsi="Segoe UI" w:cs="Segoe UI"/>
          <w:i/>
          <w:szCs w:val="24"/>
          <w:lang w:eastAsia="es-CO"/>
        </w:rPr>
        <w:t xml:space="preserve">se </w:t>
      </w:r>
      <w:r w:rsidRPr="00703EC7">
        <w:rPr>
          <w:rFonts w:ascii="Segoe UI" w:eastAsia="Times New Roman" w:hAnsi="Segoe UI" w:cs="Segoe UI"/>
          <w:i/>
          <w:iCs/>
          <w:szCs w:val="24"/>
          <w:lang w:eastAsia="es-CO"/>
        </w:rPr>
        <w:t xml:space="preserve">puedan proferir con relación </w:t>
      </w:r>
      <w:r w:rsidRPr="00703EC7">
        <w:rPr>
          <w:rFonts w:ascii="Segoe UI" w:eastAsia="Times New Roman" w:hAnsi="Segoe UI" w:cs="Segoe UI"/>
          <w:i/>
          <w:szCs w:val="24"/>
          <w:lang w:eastAsia="es-CO"/>
        </w:rPr>
        <w:t xml:space="preserve">a </w:t>
      </w:r>
      <w:r w:rsidRPr="00703EC7">
        <w:rPr>
          <w:rFonts w:ascii="Segoe UI" w:eastAsia="Times New Roman" w:hAnsi="Segoe UI" w:cs="Segoe UI"/>
          <w:i/>
          <w:iCs/>
          <w:szCs w:val="24"/>
          <w:lang w:eastAsia="es-CO"/>
        </w:rPr>
        <w:t>cada uno de ellos</w:t>
      </w:r>
      <w:proofErr w:type="gramStart"/>
      <w:r w:rsidRPr="00703EC7">
        <w:rPr>
          <w:rFonts w:ascii="Segoe UI" w:eastAsia="Times New Roman" w:hAnsi="Segoe UI" w:cs="Segoe UI"/>
          <w:i/>
          <w:iCs/>
          <w:szCs w:val="24"/>
          <w:lang w:eastAsia="es-CO"/>
        </w:rPr>
        <w:t>./</w:t>
      </w:r>
      <w:proofErr w:type="gramEnd"/>
      <w:r w:rsidRPr="00703EC7">
        <w:rPr>
          <w:rFonts w:ascii="Segoe UI" w:eastAsia="Times New Roman" w:hAnsi="Segoe UI" w:cs="Segoe UI"/>
          <w:i/>
          <w:iCs/>
          <w:szCs w:val="24"/>
          <w:lang w:eastAsia="es-CO"/>
        </w:rPr>
        <w:t>.../".</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w:t>
      </w:r>
      <w:r w:rsidRPr="00703EC7">
        <w:rPr>
          <w:rFonts w:ascii="Segoe UI" w:eastAsia="Times New Roman" w:hAnsi="Segoe UI" w:cs="Segoe UI"/>
          <w:i/>
          <w:szCs w:val="24"/>
          <w:lang w:eastAsia="es-CO"/>
        </w:rPr>
        <w:t>..</w:t>
      </w:r>
      <w:r w:rsidRPr="00703EC7">
        <w:rPr>
          <w:rFonts w:ascii="Segoe UI" w:eastAsia="Times New Roman" w:hAnsi="Segoe UI" w:cs="Segoe UI"/>
          <w:bCs/>
          <w:i/>
          <w:szCs w:val="24"/>
          <w:lang w:eastAsia="es-CO"/>
        </w:rPr>
        <w:t xml:space="preserve">) </w:t>
      </w:r>
      <w:r w:rsidRPr="00703EC7">
        <w:rPr>
          <w:rFonts w:ascii="Segoe UI" w:eastAsia="Times New Roman" w:hAnsi="Segoe UI" w:cs="Segoe UI"/>
          <w:b/>
          <w:bCs/>
          <w:i/>
          <w:iCs/>
          <w:szCs w:val="24"/>
          <w:u w:val="single"/>
          <w:lang w:eastAsia="es-CO"/>
        </w:rPr>
        <w:t xml:space="preserve">las declaraciones de corrección deben </w:t>
      </w:r>
      <w:r w:rsidRPr="00703EC7">
        <w:rPr>
          <w:rFonts w:ascii="Segoe UI" w:eastAsia="Times New Roman" w:hAnsi="Segoe UI" w:cs="Segoe UI"/>
          <w:b/>
          <w:bCs/>
          <w:i/>
          <w:szCs w:val="24"/>
          <w:u w:val="single"/>
          <w:lang w:eastAsia="es-CO"/>
        </w:rPr>
        <w:t xml:space="preserve">ser </w:t>
      </w:r>
      <w:r w:rsidRPr="00703EC7">
        <w:rPr>
          <w:rFonts w:ascii="Segoe UI" w:eastAsia="Times New Roman" w:hAnsi="Segoe UI" w:cs="Segoe UI"/>
          <w:b/>
          <w:bCs/>
          <w:i/>
          <w:iCs/>
          <w:szCs w:val="24"/>
          <w:u w:val="single"/>
          <w:lang w:eastAsia="es-CO"/>
        </w:rPr>
        <w:t xml:space="preserve">presentadas por el contribuyente, en el mismo lugar donde </w:t>
      </w:r>
      <w:r w:rsidRPr="00703EC7">
        <w:rPr>
          <w:rFonts w:ascii="Segoe UI" w:eastAsia="Times New Roman" w:hAnsi="Segoe UI" w:cs="Segoe UI"/>
          <w:b/>
          <w:bCs/>
          <w:i/>
          <w:szCs w:val="24"/>
          <w:u w:val="single"/>
          <w:lang w:eastAsia="es-CO"/>
        </w:rPr>
        <w:t xml:space="preserve">se </w:t>
      </w:r>
      <w:r w:rsidRPr="00703EC7">
        <w:rPr>
          <w:rFonts w:ascii="Segoe UI" w:eastAsia="Times New Roman" w:hAnsi="Segoe UI" w:cs="Segoe UI"/>
          <w:b/>
          <w:bCs/>
          <w:i/>
          <w:iCs/>
          <w:szCs w:val="24"/>
          <w:u w:val="single"/>
          <w:lang w:eastAsia="es-CO"/>
        </w:rPr>
        <w:t>presentó la declaración inicial</w:t>
      </w:r>
      <w:r w:rsidRPr="00703EC7">
        <w:rPr>
          <w:rFonts w:ascii="Segoe UI" w:eastAsia="Times New Roman" w:hAnsi="Segoe UI" w:cs="Segoe UI"/>
          <w:i/>
          <w:iCs/>
          <w:szCs w:val="24"/>
          <w:u w:val="single"/>
          <w:lang w:eastAsia="es-CO"/>
        </w:rPr>
        <w:t>,</w:t>
      </w:r>
      <w:r w:rsidRPr="00703EC7">
        <w:rPr>
          <w:rFonts w:ascii="Segoe UI" w:eastAsia="Times New Roman" w:hAnsi="Segoe UI" w:cs="Segoe UI"/>
          <w:i/>
          <w:iCs/>
          <w:szCs w:val="24"/>
          <w:lang w:eastAsia="es-CO"/>
        </w:rPr>
        <w:t xml:space="preserve"> atendiendo el principio de independencia de los períodos fiscales, sin que ello implique contradicción alguna con el contenido de los artículo </w:t>
      </w:r>
      <w:r w:rsidRPr="00703EC7">
        <w:rPr>
          <w:rFonts w:ascii="Segoe UI" w:eastAsia="Times New Roman" w:hAnsi="Segoe UI" w:cs="Segoe UI"/>
          <w:i/>
          <w:szCs w:val="24"/>
          <w:lang w:eastAsia="es-CO"/>
        </w:rPr>
        <w:t xml:space="preserve">1 y 3 </w:t>
      </w:r>
      <w:r w:rsidRPr="00703EC7">
        <w:rPr>
          <w:rFonts w:ascii="Segoe UI" w:eastAsia="Times New Roman" w:hAnsi="Segoe UI" w:cs="Segoe UI"/>
          <w:i/>
          <w:iCs/>
          <w:szCs w:val="24"/>
          <w:lang w:eastAsia="es-CO"/>
        </w:rPr>
        <w:t xml:space="preserve">del Decreto </w:t>
      </w:r>
      <w:r w:rsidRPr="00703EC7">
        <w:rPr>
          <w:rFonts w:ascii="Segoe UI" w:eastAsia="Times New Roman" w:hAnsi="Segoe UI" w:cs="Segoe UI"/>
          <w:i/>
          <w:szCs w:val="24"/>
          <w:lang w:eastAsia="es-CO"/>
        </w:rPr>
        <w:t xml:space="preserve">4714 </w:t>
      </w:r>
      <w:r w:rsidRPr="00703EC7">
        <w:rPr>
          <w:rFonts w:ascii="Segoe UI" w:eastAsia="Times New Roman" w:hAnsi="Segoe UI" w:cs="Segoe UI"/>
          <w:i/>
          <w:iCs/>
          <w:szCs w:val="24"/>
          <w:lang w:eastAsia="es-CO"/>
        </w:rPr>
        <w:t xml:space="preserve">de </w:t>
      </w:r>
      <w:r w:rsidRPr="00703EC7">
        <w:rPr>
          <w:rFonts w:ascii="Segoe UI" w:eastAsia="Times New Roman" w:hAnsi="Segoe UI" w:cs="Segoe UI"/>
          <w:i/>
          <w:szCs w:val="24"/>
          <w:lang w:eastAsia="es-CO"/>
        </w:rPr>
        <w:t xml:space="preserve">2005, ya </w:t>
      </w:r>
      <w:r w:rsidRPr="00703EC7">
        <w:rPr>
          <w:rFonts w:ascii="Segoe UI" w:eastAsia="Times New Roman" w:hAnsi="Segoe UI" w:cs="Segoe UI"/>
          <w:i/>
          <w:iCs/>
          <w:szCs w:val="24"/>
          <w:lang w:eastAsia="es-CO"/>
        </w:rPr>
        <w:t xml:space="preserve">que la norma (artículo 1°) al mencionar la administración competente </w:t>
      </w:r>
      <w:r w:rsidRPr="00703EC7">
        <w:rPr>
          <w:rFonts w:ascii="Segoe UI" w:eastAsia="Times New Roman" w:hAnsi="Segoe UI" w:cs="Segoe UI"/>
          <w:i/>
          <w:szCs w:val="24"/>
          <w:lang w:eastAsia="es-CO"/>
        </w:rPr>
        <w:t>(...)"</w:t>
      </w:r>
      <w:r w:rsidRPr="00703EC7">
        <w:rPr>
          <w:rFonts w:ascii="Segoe UI" w:eastAsia="Times New Roman" w:hAnsi="Segoe UI" w:cs="Segoe UI"/>
          <w:szCs w:val="24"/>
          <w:lang w:eastAsia="es-CO"/>
        </w:rPr>
        <w:t xml:space="preserve"> (Se resalta y subraya).</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Por otra parte y respecto al archivo de expedientes por falta de competencia, a través del concepto No. 090761 de 2007, se dijo:</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lang w:eastAsia="es-CO"/>
        </w:rPr>
        <w:t>"PROBLEMA JURÍDICO</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szCs w:val="24"/>
          <w:lang w:eastAsia="es-CO"/>
        </w:rPr>
        <w:t>¿</w:t>
      </w:r>
      <w:proofErr w:type="spellStart"/>
      <w:r w:rsidRPr="00703EC7">
        <w:rPr>
          <w:rFonts w:ascii="Segoe UI" w:eastAsia="Times New Roman" w:hAnsi="Segoe UI" w:cs="Segoe UI"/>
          <w:i/>
          <w:szCs w:val="24"/>
          <w:lang w:eastAsia="es-CO"/>
        </w:rPr>
        <w:t>Cuando</w:t>
      </w:r>
      <w:proofErr w:type="spellEnd"/>
      <w:r w:rsidRPr="00703EC7">
        <w:rPr>
          <w:rFonts w:ascii="Segoe UI" w:eastAsia="Times New Roman" w:hAnsi="Segoe UI" w:cs="Segoe UI"/>
          <w:i/>
          <w:iCs/>
          <w:szCs w:val="24"/>
          <w:lang w:eastAsia="es-CO"/>
        </w:rPr>
        <w:t xml:space="preserve"> </w:t>
      </w:r>
      <w:r w:rsidRPr="00703EC7">
        <w:rPr>
          <w:rFonts w:ascii="Segoe UI" w:eastAsia="Times New Roman" w:hAnsi="Segoe UI" w:cs="Segoe UI"/>
          <w:i/>
          <w:szCs w:val="24"/>
          <w:lang w:eastAsia="es-CO"/>
        </w:rPr>
        <w:t xml:space="preserve">se </w:t>
      </w:r>
      <w:r w:rsidRPr="00703EC7">
        <w:rPr>
          <w:rFonts w:ascii="Segoe UI" w:eastAsia="Times New Roman" w:hAnsi="Segoe UI" w:cs="Segoe UI"/>
          <w:i/>
          <w:iCs/>
          <w:szCs w:val="24"/>
          <w:lang w:eastAsia="es-CO"/>
        </w:rPr>
        <w:t xml:space="preserve">archiva un expediente por falta de competencia, la Administración competente al recibir el expediente debe continuar el trámite procesal iniciado </w:t>
      </w:r>
      <w:r w:rsidRPr="00703EC7">
        <w:rPr>
          <w:rFonts w:ascii="Segoe UI" w:eastAsia="Times New Roman" w:hAnsi="Segoe UI" w:cs="Segoe UI"/>
          <w:i/>
          <w:szCs w:val="24"/>
          <w:lang w:eastAsia="es-CO"/>
        </w:rPr>
        <w:t xml:space="preserve">o </w:t>
      </w:r>
      <w:r w:rsidRPr="00703EC7">
        <w:rPr>
          <w:rFonts w:ascii="Segoe UI" w:eastAsia="Times New Roman" w:hAnsi="Segoe UI" w:cs="Segoe UI"/>
          <w:i/>
          <w:iCs/>
          <w:szCs w:val="24"/>
          <w:lang w:eastAsia="es-CO"/>
        </w:rPr>
        <w:t>debe iniciar el expediente teniendo en cuenta la falta de competencia sobre los actos administrativos proferidos como sería el requerimiento especial aduanero?</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b/>
          <w:bCs/>
          <w:i/>
          <w:iCs/>
          <w:szCs w:val="24"/>
          <w:lang w:eastAsia="es-CO"/>
        </w:rPr>
        <w:t>TESIS JURÍDICA</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 </w:t>
      </w:r>
    </w:p>
    <w:p w:rsidR="00703EC7" w:rsidRPr="00703EC7" w:rsidRDefault="00703EC7" w:rsidP="00703EC7">
      <w:pPr>
        <w:spacing w:line="240" w:lineRule="auto"/>
        <w:ind w:left="284"/>
        <w:rPr>
          <w:rFonts w:eastAsia="Times New Roman"/>
          <w:szCs w:val="24"/>
          <w:lang w:eastAsia="es-CO"/>
        </w:rPr>
      </w:pPr>
      <w:r w:rsidRPr="00703EC7">
        <w:rPr>
          <w:rFonts w:ascii="Segoe UI" w:eastAsia="Times New Roman" w:hAnsi="Segoe UI" w:cs="Segoe UI"/>
          <w:i/>
          <w:iCs/>
          <w:szCs w:val="24"/>
          <w:lang w:eastAsia="es-CO"/>
        </w:rPr>
        <w:t>Los actos administrativos proferidos sin tener competencia para su expedición, están viciados de nulidad</w:t>
      </w:r>
      <w:r w:rsidRPr="00703EC7">
        <w:rPr>
          <w:rFonts w:ascii="Segoe UI" w:eastAsia="Times New Roman" w:hAnsi="Segoe UI" w:cs="Segoe UI"/>
          <w:bCs/>
          <w:i/>
          <w:iCs/>
          <w:szCs w:val="24"/>
          <w:lang w:eastAsia="es-CO"/>
        </w:rPr>
        <w:t xml:space="preserve">, </w:t>
      </w:r>
      <w:r w:rsidRPr="00703EC7">
        <w:rPr>
          <w:rFonts w:ascii="Segoe UI" w:eastAsia="Times New Roman" w:hAnsi="Segoe UI" w:cs="Segoe UI"/>
          <w:b/>
          <w:bCs/>
          <w:i/>
          <w:iCs/>
          <w:szCs w:val="24"/>
          <w:u w:val="single"/>
          <w:lang w:eastAsia="es-CO"/>
        </w:rPr>
        <w:t>por lo cual debe iniciarse el correspondiente procedimiento por parte de la Administración competente</w:t>
      </w:r>
      <w:r w:rsidRPr="00703EC7">
        <w:rPr>
          <w:rFonts w:ascii="Segoe UI" w:eastAsia="Times New Roman" w:hAnsi="Segoe UI" w:cs="Segoe UI"/>
          <w:i/>
          <w:iCs/>
          <w:szCs w:val="24"/>
          <w:lang w:eastAsia="es-CO"/>
        </w:rPr>
        <w:t xml:space="preserve"> </w:t>
      </w:r>
      <w:r w:rsidRPr="00703EC7">
        <w:rPr>
          <w:rFonts w:ascii="Segoe UI" w:eastAsia="Times New Roman" w:hAnsi="Segoe UI" w:cs="Segoe UI"/>
          <w:i/>
          <w:szCs w:val="24"/>
          <w:lang w:eastAsia="es-CO"/>
        </w:rPr>
        <w:t xml:space="preserve">y </w:t>
      </w:r>
      <w:r w:rsidRPr="00703EC7">
        <w:rPr>
          <w:rFonts w:ascii="Segoe UI" w:eastAsia="Times New Roman" w:hAnsi="Segoe UI" w:cs="Segoe UI"/>
          <w:i/>
          <w:iCs/>
          <w:szCs w:val="24"/>
          <w:lang w:eastAsia="es-CO"/>
        </w:rPr>
        <w:t xml:space="preserve">garantizar el debido proceso </w:t>
      </w:r>
      <w:r w:rsidRPr="00703EC7">
        <w:rPr>
          <w:rFonts w:ascii="Segoe UI" w:eastAsia="Times New Roman" w:hAnsi="Segoe UI" w:cs="Segoe UI"/>
          <w:i/>
          <w:szCs w:val="24"/>
          <w:lang w:eastAsia="es-CO"/>
        </w:rPr>
        <w:t xml:space="preserve">y </w:t>
      </w:r>
      <w:r w:rsidRPr="00703EC7">
        <w:rPr>
          <w:rFonts w:ascii="Segoe UI" w:eastAsia="Times New Roman" w:hAnsi="Segoe UI" w:cs="Segoe UI"/>
          <w:i/>
          <w:iCs/>
          <w:szCs w:val="24"/>
          <w:lang w:eastAsia="es-CO"/>
        </w:rPr>
        <w:t xml:space="preserve">el derecho </w:t>
      </w:r>
      <w:r w:rsidRPr="00703EC7">
        <w:rPr>
          <w:rFonts w:ascii="Segoe UI" w:eastAsia="Times New Roman" w:hAnsi="Segoe UI" w:cs="Segoe UI"/>
          <w:i/>
          <w:szCs w:val="24"/>
          <w:lang w:eastAsia="es-CO"/>
        </w:rPr>
        <w:t xml:space="preserve">a </w:t>
      </w:r>
      <w:r w:rsidRPr="00703EC7">
        <w:rPr>
          <w:rFonts w:ascii="Segoe UI" w:eastAsia="Times New Roman" w:hAnsi="Segoe UI" w:cs="Segoe UI"/>
          <w:i/>
          <w:iCs/>
          <w:szCs w:val="24"/>
          <w:lang w:eastAsia="es-CO"/>
        </w:rPr>
        <w:t xml:space="preserve">la defensa.". </w:t>
      </w:r>
      <w:r w:rsidRPr="00703EC7">
        <w:rPr>
          <w:rFonts w:ascii="Segoe UI" w:eastAsia="Times New Roman" w:hAnsi="Segoe UI" w:cs="Segoe UI"/>
          <w:szCs w:val="24"/>
          <w:lang w:eastAsia="es-CO"/>
        </w:rPr>
        <w:t>(Se resalta y subraya).</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Así las cosas, en el caso de cambio de domicilio, corrección de la declaración tributaria y solicitud de devolución y trámite de la misma, se concluye- una vez analizada la doctrina anterior- que la Dirección Seccional competente, tanto para la corrección de la declaración como para solicitar una devolución tramitarla y realizar todos los procedimientos necesarios para su control y fiscalización de ésta, es donde el contribuyente o responsable presentó la declaración inicial que arrojó el saldo a favor. Esto en desarrollo del principio de la independencia de los períodos fiscales y de los actos administrativos que se puedan proferir con relación a cada uno de ellos.</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Con todo, la doctrina transcrita y que será remitida anexa al presente Oficio, se encontraba vigente cuando fueron presentadas las declaraciones tributarias y solicitud de devolución por usted señaladas y aborda con suficiente claridad el tema consultado, razón por la que nos remitimos a su contenido sin que sea necesario efectuar señalamiento o interpretación adicional al respecto.</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Cabe reiterar, acorde con lo señalado en la Circular 0175 de 2001 ya mencionada, que si en esta oportunidad se realiza un nuevo pronunciamiento jurídico sobre la materia consultada, no aplicaría sino una vez emitido, es decir para actuaciones o hechos que sucedan en el futuro.</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lastRenderedPageBreak/>
        <w:t xml:space="preserve">No obstante todo lo anterior, y teniendo en cuenta las funciones señaladas en los artículos 24 y 31 del Decreto 4048 de 2008, se sugiere, si usted lo considera pertinente y conducente, se decrete prueba tendiente a solicitar </w:t>
      </w:r>
      <w:r w:rsidRPr="00703EC7">
        <w:rPr>
          <w:rFonts w:ascii="Segoe UI" w:eastAsia="Times New Roman" w:hAnsi="Segoe UI" w:cs="Segoe UI"/>
          <w:b/>
          <w:bCs/>
          <w:szCs w:val="24"/>
          <w:lang w:eastAsia="es-CO"/>
        </w:rPr>
        <w:t xml:space="preserve">"concepto técnico" </w:t>
      </w:r>
      <w:r w:rsidRPr="00703EC7">
        <w:rPr>
          <w:rFonts w:ascii="Segoe UI" w:eastAsia="Times New Roman" w:hAnsi="Segoe UI" w:cs="Segoe UI"/>
          <w:szCs w:val="24"/>
          <w:lang w:eastAsia="es-CO"/>
        </w:rPr>
        <w:t>sobre las actuaciones y trámites efectuados a través de los expedientes tributarios que se relacionan en su consulta, a las Subdirecciones de Gestión de Recaudo y Cobranzas y de Fiscalización Tributaria ubicadas en el nivel central de esta Entidad.</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Atentamente,</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 </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b/>
          <w:szCs w:val="24"/>
          <w:lang w:eastAsia="es-CO"/>
        </w:rPr>
        <w:t>DALILA ASTRID HERNÁNDEZ CORZO</w:t>
      </w:r>
    </w:p>
    <w:p w:rsidR="00703EC7" w:rsidRPr="00703EC7" w:rsidRDefault="00703EC7" w:rsidP="00703EC7">
      <w:pPr>
        <w:spacing w:line="240" w:lineRule="auto"/>
        <w:rPr>
          <w:rFonts w:eastAsia="Times New Roman"/>
          <w:szCs w:val="24"/>
          <w:lang w:eastAsia="es-CO"/>
        </w:rPr>
      </w:pPr>
      <w:r w:rsidRPr="00703EC7">
        <w:rPr>
          <w:rFonts w:ascii="Segoe UI" w:eastAsia="Times New Roman" w:hAnsi="Segoe UI" w:cs="Segoe UI"/>
          <w:szCs w:val="24"/>
          <w:lang w:eastAsia="es-CO"/>
        </w:rPr>
        <w:t>Directora de Gestión</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C7"/>
    <w:rsid w:val="00703EC7"/>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1599</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2014-03-11T19:36:00Z</dcterms:created>
  <dcterms:modified xsi:type="dcterms:W3CDTF">2014-03-11T19:38:00Z</dcterms:modified>
</cp:coreProperties>
</file>